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35" w:rsidRDefault="004A19B0" w:rsidP="00735679">
      <w:pPr>
        <w:pStyle w:val="Titre"/>
      </w:pPr>
      <w:r>
        <w:t>CH10</w:t>
      </w:r>
      <w:r w:rsidR="0084529E">
        <w:t xml:space="preserve">: </w:t>
      </w:r>
      <w:r w:rsidR="0046651B">
        <w:t>titrations</w:t>
      </w:r>
      <w:bookmarkStart w:id="0" w:name="_GoBack"/>
      <w:bookmarkEnd w:id="0"/>
    </w:p>
    <w:p w:rsidR="00134B2A" w:rsidRPr="00134B2A" w:rsidRDefault="000042E0" w:rsidP="00134B2A">
      <w:pPr>
        <w:pStyle w:val="TitreActivit"/>
        <w:numPr>
          <w:ilvl w:val="0"/>
          <w:numId w:val="12"/>
        </w:numPr>
        <w:rPr>
          <w:lang w:val="en-US"/>
        </w:rPr>
      </w:pPr>
      <w:r w:rsidRPr="004C6AAD">
        <w:rPr>
          <w:lang w:val="en-US"/>
        </w:rPr>
        <w:t> </w:t>
      </w:r>
      <w:r w:rsidR="004C6AAD" w:rsidRPr="004C6AAD">
        <w:rPr>
          <w:lang w:val="en-US"/>
        </w:rPr>
        <w:t xml:space="preserve">ESTIMATION OF THE PERCENTAGE OF IRON IN </w:t>
      </w:r>
      <w:r w:rsidR="00CA5C7A">
        <w:rPr>
          <w:lang w:val="en-US"/>
        </w:rPr>
        <w:t>TARDYFERON TABLETS</w:t>
      </w:r>
    </w:p>
    <w:p w:rsidR="00227858" w:rsidRDefault="00227858" w:rsidP="00762C8B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3"/>
      </w:tblGrid>
      <w:tr w:rsidR="003F134A" w:rsidTr="00093708">
        <w:tc>
          <w:tcPr>
            <w:tcW w:w="6629" w:type="dxa"/>
            <w:vAlign w:val="center"/>
          </w:tcPr>
          <w:p w:rsidR="003F134A" w:rsidRPr="003F134A" w:rsidRDefault="003F134A" w:rsidP="003F134A">
            <w:pPr>
              <w:rPr>
                <w:b/>
                <w:sz w:val="24"/>
                <w:szCs w:val="24"/>
                <w:lang w:val="en-US"/>
              </w:rPr>
            </w:pPr>
            <w:r w:rsidRPr="003F134A">
              <w:rPr>
                <w:b/>
                <w:sz w:val="24"/>
                <w:szCs w:val="24"/>
                <w:lang w:val="en-US"/>
              </w:rPr>
              <w:t>The purpose of this experiment is to determine the mass of iron in tablets of Tardyferon®. To do this we are going to do a redox titration.</w:t>
            </w:r>
          </w:p>
          <w:p w:rsidR="003F134A" w:rsidRDefault="003F134A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16709D">
            <w:pPr>
              <w:rPr>
                <w:sz w:val="21"/>
                <w:szCs w:val="21"/>
                <w:lang w:val="en-US"/>
              </w:rPr>
            </w:pPr>
          </w:p>
          <w:p w:rsidR="00CE4B53" w:rsidRDefault="00CE4B53" w:rsidP="00CE4B53">
            <w:pPr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Source: </w:t>
            </w:r>
            <w:r w:rsidRPr="00CE4B53">
              <w:rPr>
                <w:i/>
                <w:sz w:val="21"/>
                <w:szCs w:val="21"/>
                <w:lang w:val="en-US"/>
              </w:rPr>
              <w:t>wikimediacommons</w:t>
            </w:r>
          </w:p>
        </w:tc>
        <w:tc>
          <w:tcPr>
            <w:tcW w:w="3263" w:type="dxa"/>
          </w:tcPr>
          <w:p w:rsidR="003F134A" w:rsidRDefault="003F134A" w:rsidP="003F134A">
            <w:pPr>
              <w:jc w:val="right"/>
              <w:rPr>
                <w:sz w:val="21"/>
                <w:szCs w:val="21"/>
                <w:lang w:val="en-US"/>
              </w:rPr>
            </w:pPr>
            <w:r w:rsidRPr="001E22E9">
              <w:rPr>
                <w:noProof/>
                <w:lang w:eastAsia="fr-FR"/>
              </w:rPr>
              <w:drawing>
                <wp:inline distT="0" distB="0" distL="0" distR="0" wp14:anchorId="71E42C4A" wp14:editId="5984170E">
                  <wp:extent cx="1828800" cy="2655517"/>
                  <wp:effectExtent l="0" t="0" r="0" b="0"/>
                  <wp:docPr id="15" name="Image 15" descr="Macintosh HD:Users:cecilekressmann:Desktop:Capture d’écran 2017-03-07 à 14.20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cecilekressmann:Desktop:Capture d’écran 2017-03-07 à 14.20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85" cy="266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AAD" w:rsidRPr="004C6AAD" w:rsidRDefault="004C6AAD" w:rsidP="0016709D">
      <w:pPr>
        <w:rPr>
          <w:sz w:val="21"/>
          <w:szCs w:val="21"/>
          <w:lang w:val="en-US"/>
        </w:rPr>
      </w:pPr>
    </w:p>
    <w:p w:rsidR="007666DC" w:rsidRPr="007666DC" w:rsidRDefault="007666DC" w:rsidP="007666DC">
      <w:pPr>
        <w:pStyle w:val="Paragraphedeliste"/>
        <w:numPr>
          <w:ilvl w:val="0"/>
          <w:numId w:val="28"/>
        </w:numPr>
        <w:spacing w:after="200"/>
        <w:jc w:val="left"/>
        <w:rPr>
          <w:b/>
          <w:sz w:val="22"/>
          <w:u w:val="single"/>
        </w:rPr>
      </w:pPr>
      <w:r w:rsidRPr="007666DC">
        <w:rPr>
          <w:b/>
          <w:sz w:val="22"/>
          <w:u w:val="single"/>
        </w:rPr>
        <w:t>Introduction</w:t>
      </w:r>
    </w:p>
    <w:p w:rsidR="007666DC" w:rsidRPr="006808F2" w:rsidRDefault="007666DC" w:rsidP="007666DC">
      <w:pPr>
        <w:rPr>
          <w:strike/>
          <w:sz w:val="21"/>
          <w:szCs w:val="21"/>
          <w:lang w:val="en-US"/>
        </w:rPr>
      </w:pPr>
      <w:r w:rsidRPr="006808F2">
        <w:rPr>
          <w:sz w:val="21"/>
          <w:szCs w:val="21"/>
          <w:lang w:val="en-US"/>
        </w:rPr>
        <w:t>Iron is a transition metal and shows typical properties of such elements. Iron is an essential eleme</w:t>
      </w:r>
      <w:r w:rsidR="0046651B">
        <w:rPr>
          <w:sz w:val="21"/>
          <w:szCs w:val="21"/>
          <w:lang w:val="en-US"/>
        </w:rPr>
        <w:t>nt in the human body and a well-</w:t>
      </w:r>
      <w:r w:rsidRPr="006808F2">
        <w:rPr>
          <w:sz w:val="21"/>
          <w:szCs w:val="21"/>
          <w:lang w:val="en-US"/>
        </w:rPr>
        <w:t xml:space="preserve">balanced diet usually provides all the iron needed for most people. However, in some cases </w:t>
      </w:r>
      <w:r w:rsidR="0046651B">
        <w:rPr>
          <w:sz w:val="21"/>
          <w:szCs w:val="21"/>
          <w:lang w:val="en-US"/>
        </w:rPr>
        <w:t xml:space="preserve">(like pregnancy) </w:t>
      </w:r>
      <w:r w:rsidRPr="006808F2">
        <w:rPr>
          <w:sz w:val="21"/>
          <w:szCs w:val="21"/>
          <w:lang w:val="en-US"/>
        </w:rPr>
        <w:t>a person may need additional iron and this can be supplied in the form of « iron tablets ». These are t</w:t>
      </w:r>
      <w:r w:rsidR="00CA5C7A">
        <w:rPr>
          <w:sz w:val="21"/>
          <w:szCs w:val="21"/>
          <w:lang w:val="en-US"/>
        </w:rPr>
        <w:t>ablets containing iron(II) sulf</w:t>
      </w:r>
      <w:r w:rsidRPr="006808F2">
        <w:rPr>
          <w:sz w:val="21"/>
          <w:szCs w:val="21"/>
          <w:lang w:val="en-US"/>
        </w:rPr>
        <w:t>ate mixed with a base.</w:t>
      </w:r>
    </w:p>
    <w:p w:rsidR="007666DC" w:rsidRPr="006808F2" w:rsidRDefault="007666DC" w:rsidP="007666DC">
      <w:pPr>
        <w:rPr>
          <w:sz w:val="21"/>
          <w:szCs w:val="21"/>
          <w:lang w:val="en-US"/>
        </w:rPr>
      </w:pPr>
      <w:r w:rsidRPr="006808F2">
        <w:rPr>
          <w:sz w:val="21"/>
          <w:szCs w:val="21"/>
          <w:lang w:val="en-US"/>
        </w:rPr>
        <w:t>The purpose of this experiment is to determine the mass of iron in such iron tablets. To do this</w:t>
      </w:r>
      <w:r w:rsidR="0046651B">
        <w:rPr>
          <w:sz w:val="21"/>
          <w:szCs w:val="21"/>
          <w:lang w:val="en-US"/>
        </w:rPr>
        <w:t>,</w:t>
      </w:r>
      <w:r w:rsidRPr="006808F2">
        <w:rPr>
          <w:sz w:val="21"/>
          <w:szCs w:val="21"/>
          <w:lang w:val="en-US"/>
        </w:rPr>
        <w:t xml:space="preserve"> we are going to make use of the ability of iron to exist in more than one oxidation state.</w:t>
      </w:r>
    </w:p>
    <w:p w:rsidR="007666DC" w:rsidRPr="006808F2" w:rsidRDefault="007666DC" w:rsidP="007666DC">
      <w:pPr>
        <w:rPr>
          <w:sz w:val="21"/>
          <w:szCs w:val="21"/>
          <w:lang w:val="en-US"/>
        </w:rPr>
      </w:pPr>
      <w:r w:rsidRPr="006808F2">
        <w:rPr>
          <w:sz w:val="21"/>
          <w:szCs w:val="21"/>
          <w:lang w:val="en-US"/>
        </w:rPr>
        <w:t>In the tablets iron is present as iron(II) or Fe</w:t>
      </w:r>
      <w:r w:rsidRPr="006808F2">
        <w:rPr>
          <w:sz w:val="21"/>
          <w:szCs w:val="21"/>
          <w:vertAlign w:val="superscript"/>
          <w:lang w:val="en-US"/>
        </w:rPr>
        <w:t>2+</w:t>
      </w:r>
      <w:r w:rsidRPr="006808F2">
        <w:rPr>
          <w:sz w:val="21"/>
          <w:szCs w:val="21"/>
          <w:lang w:val="en-US"/>
        </w:rPr>
        <w:t>. Potassium mang</w:t>
      </w:r>
      <w:r w:rsidR="0046651B">
        <w:rPr>
          <w:sz w:val="21"/>
          <w:szCs w:val="21"/>
          <w:lang w:val="en-US"/>
        </w:rPr>
        <w:t>anate (VII) is a powerful oxidizing agent and is able to oxidiz</w:t>
      </w:r>
      <w:r w:rsidRPr="006808F2">
        <w:rPr>
          <w:sz w:val="21"/>
          <w:szCs w:val="21"/>
          <w:lang w:val="en-US"/>
        </w:rPr>
        <w:t xml:space="preserve">e iron (II) to iron (III). The half equations for the oxidation and </w:t>
      </w:r>
      <w:r w:rsidR="0046651B">
        <w:rPr>
          <w:sz w:val="21"/>
          <w:szCs w:val="21"/>
          <w:lang w:val="en-US"/>
        </w:rPr>
        <w:t>reduction reactions are</w:t>
      </w:r>
      <w:r w:rsidRPr="006808F2">
        <w:rPr>
          <w:sz w:val="21"/>
          <w:szCs w:val="21"/>
          <w:lang w:val="en-US"/>
        </w:rPr>
        <w:t>:</w:t>
      </w:r>
    </w:p>
    <w:p w:rsidR="007666DC" w:rsidRPr="0046651B" w:rsidRDefault="0046651B" w:rsidP="007666DC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(i)</w:t>
      </w:r>
      <w:r>
        <w:rPr>
          <w:sz w:val="21"/>
          <w:szCs w:val="21"/>
          <w:lang w:val="en-US"/>
        </w:rPr>
        <w:tab/>
        <w:t>oxi</w:t>
      </w:r>
      <w:r w:rsidR="007666DC" w:rsidRPr="0046651B">
        <w:rPr>
          <w:sz w:val="21"/>
          <w:szCs w:val="21"/>
          <w:lang w:val="en-US"/>
        </w:rPr>
        <w:t>dation</w:t>
      </w:r>
      <w:r w:rsidR="007666DC" w:rsidRPr="0046651B">
        <w:rPr>
          <w:sz w:val="21"/>
          <w:szCs w:val="21"/>
          <w:lang w:val="en-US"/>
        </w:rPr>
        <w:tab/>
      </w:r>
      <w:r w:rsidR="00455E60" w:rsidRPr="00911E07">
        <w:rPr>
          <w:noProof/>
          <w:position w:val="-14"/>
          <w:sz w:val="21"/>
          <w:szCs w:val="21"/>
        </w:rPr>
        <w:object w:dxaOrig="1740" w:dyaOrig="400" w14:anchorId="58E60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87.25pt;height:19.55pt;mso-width-percent:0;mso-height-percent:0;mso-width-percent:0;mso-height-percent:0" o:ole="">
            <v:imagedata r:id="rId8" o:title=""/>
          </v:shape>
          <o:OLEObject Type="Embed" ProgID="Equation.3" ShapeID="_x0000_i1027" DrawAspect="Content" ObjectID="_1623135250" r:id="rId9"/>
        </w:object>
      </w:r>
    </w:p>
    <w:p w:rsidR="007666DC" w:rsidRPr="0046651B" w:rsidRDefault="007666DC" w:rsidP="007666DC">
      <w:pPr>
        <w:rPr>
          <w:sz w:val="21"/>
          <w:szCs w:val="21"/>
          <w:lang w:val="en-US"/>
        </w:rPr>
      </w:pPr>
      <w:r w:rsidRPr="0046651B">
        <w:rPr>
          <w:sz w:val="21"/>
          <w:szCs w:val="21"/>
          <w:lang w:val="en-US"/>
        </w:rPr>
        <w:t>(ii)</w:t>
      </w:r>
      <w:r w:rsidRPr="0046651B">
        <w:rPr>
          <w:sz w:val="21"/>
          <w:szCs w:val="21"/>
          <w:lang w:val="en-US"/>
        </w:rPr>
        <w:tab/>
        <w:t>reduction</w:t>
      </w:r>
      <w:r w:rsidRPr="0046651B">
        <w:rPr>
          <w:sz w:val="21"/>
          <w:szCs w:val="21"/>
          <w:lang w:val="en-US"/>
        </w:rPr>
        <w:tab/>
      </w:r>
      <w:r w:rsidR="00455E60" w:rsidRPr="00911E07">
        <w:rPr>
          <w:noProof/>
          <w:position w:val="-14"/>
          <w:sz w:val="21"/>
          <w:szCs w:val="21"/>
        </w:rPr>
        <w:object w:dxaOrig="3960" w:dyaOrig="400" w14:anchorId="40A9557E">
          <v:shape id="_x0000_i1026" type="#_x0000_t75" alt="" style="width:198.4pt;height:19.5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623135251" r:id="rId11"/>
        </w:object>
      </w:r>
    </w:p>
    <w:p w:rsidR="007666DC" w:rsidRPr="000E351E" w:rsidRDefault="007666DC" w:rsidP="007666DC">
      <w:pPr>
        <w:rPr>
          <w:sz w:val="21"/>
          <w:szCs w:val="21"/>
          <w:lang w:val="en-US"/>
        </w:rPr>
      </w:pPr>
      <w:r w:rsidRPr="000E351E">
        <w:rPr>
          <w:sz w:val="21"/>
          <w:szCs w:val="21"/>
          <w:lang w:val="en-US"/>
        </w:rPr>
        <w:t xml:space="preserve">These two equations can be combined to give the overall </w:t>
      </w:r>
      <w:r w:rsidR="0046651B">
        <w:rPr>
          <w:sz w:val="21"/>
          <w:szCs w:val="21"/>
          <w:lang w:val="en-US"/>
        </w:rPr>
        <w:t>equation for the redox reaction</w:t>
      </w:r>
      <w:r w:rsidRPr="000E351E">
        <w:rPr>
          <w:sz w:val="21"/>
          <w:szCs w:val="21"/>
          <w:lang w:val="en-US"/>
        </w:rPr>
        <w:t>:</w:t>
      </w:r>
    </w:p>
    <w:p w:rsidR="007666DC" w:rsidRPr="007666DC" w:rsidRDefault="00455E60" w:rsidP="007666DC">
      <w:pPr>
        <w:ind w:firstLine="708"/>
        <w:rPr>
          <w:position w:val="-14"/>
          <w:sz w:val="21"/>
          <w:szCs w:val="21"/>
        </w:rPr>
      </w:pPr>
      <w:r w:rsidRPr="00911E07">
        <w:rPr>
          <w:noProof/>
          <w:position w:val="-14"/>
          <w:sz w:val="21"/>
          <w:szCs w:val="21"/>
        </w:rPr>
        <w:object w:dxaOrig="5220" w:dyaOrig="400" w14:anchorId="5C73039D">
          <v:shape id="_x0000_i1025" type="#_x0000_t75" alt="" style="width:261.25pt;height:19.55pt;mso-width-percent:0;mso-height-percent:0;mso-width-percent:0;mso-height-percent:0" o:ole="">
            <v:imagedata r:id="rId12" o:title=""/>
          </v:shape>
          <o:OLEObject Type="Embed" ProgID="Equation.3" ShapeID="_x0000_i1025" DrawAspect="Content" ObjectID="_1623135252" r:id="rId13"/>
        </w:object>
      </w:r>
    </w:p>
    <w:p w:rsidR="007666DC" w:rsidRPr="006808F2" w:rsidRDefault="007666DC" w:rsidP="007666DC">
      <w:pPr>
        <w:rPr>
          <w:sz w:val="21"/>
          <w:szCs w:val="21"/>
          <w:lang w:val="en-US"/>
        </w:rPr>
      </w:pPr>
      <w:r w:rsidRPr="006808F2">
        <w:rPr>
          <w:sz w:val="21"/>
          <w:szCs w:val="21"/>
          <w:lang w:val="en-US"/>
        </w:rPr>
        <w:t xml:space="preserve">Solutions containing </w:t>
      </w:r>
      <w:r w:rsidRPr="006808F2">
        <w:rPr>
          <w:noProof/>
          <w:position w:val="-14"/>
          <w:sz w:val="21"/>
          <w:szCs w:val="21"/>
          <w:lang w:val="en-US"/>
        </w:rPr>
        <w:drawing>
          <wp:inline distT="0" distB="0" distL="0" distR="0" wp14:anchorId="558408A9" wp14:editId="454D317B">
            <wp:extent cx="572770" cy="251460"/>
            <wp:effectExtent l="0" t="0" r="0" b="254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51B">
        <w:rPr>
          <w:sz w:val="21"/>
          <w:szCs w:val="21"/>
          <w:lang w:val="en-US"/>
        </w:rPr>
        <w:t xml:space="preserve"> have a deep purple colo</w:t>
      </w:r>
      <w:r w:rsidRPr="006808F2">
        <w:rPr>
          <w:sz w:val="21"/>
          <w:szCs w:val="21"/>
          <w:lang w:val="en-US"/>
        </w:rPr>
        <w:t>r.</w:t>
      </w:r>
      <w:r w:rsidR="00CA5C7A">
        <w:rPr>
          <w:sz w:val="21"/>
          <w:szCs w:val="21"/>
          <w:lang w:val="en-US"/>
        </w:rPr>
        <w:t xml:space="preserve"> </w:t>
      </w:r>
      <w:r w:rsidRPr="006808F2">
        <w:rPr>
          <w:sz w:val="21"/>
          <w:szCs w:val="21"/>
          <w:lang w:val="en-US"/>
        </w:rPr>
        <w:t xml:space="preserve">Solutions containing </w:t>
      </w:r>
      <w:r w:rsidRPr="006808F2">
        <w:rPr>
          <w:noProof/>
          <w:position w:val="-14"/>
          <w:sz w:val="21"/>
          <w:szCs w:val="21"/>
          <w:lang w:val="en-US"/>
        </w:rPr>
        <w:drawing>
          <wp:inline distT="0" distB="0" distL="0" distR="0" wp14:anchorId="3D701FB7" wp14:editId="117D75C4">
            <wp:extent cx="422275" cy="251460"/>
            <wp:effectExtent l="0" t="0" r="0" b="254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C7A">
        <w:rPr>
          <w:sz w:val="21"/>
          <w:szCs w:val="21"/>
          <w:lang w:val="en-US"/>
        </w:rPr>
        <w:t xml:space="preserve"> ions are colo</w:t>
      </w:r>
      <w:r w:rsidRPr="006808F2">
        <w:rPr>
          <w:sz w:val="21"/>
          <w:szCs w:val="21"/>
          <w:lang w:val="en-US"/>
        </w:rPr>
        <w:t>rless.</w:t>
      </w:r>
    </w:p>
    <w:p w:rsidR="007666DC" w:rsidRPr="006808F2" w:rsidRDefault="007666DC" w:rsidP="007666DC">
      <w:pPr>
        <w:rPr>
          <w:sz w:val="21"/>
          <w:szCs w:val="21"/>
          <w:lang w:val="en-US"/>
        </w:rPr>
      </w:pPr>
      <w:r w:rsidRPr="006808F2">
        <w:rPr>
          <w:sz w:val="21"/>
          <w:szCs w:val="21"/>
          <w:lang w:val="en-US"/>
        </w:rPr>
        <w:t xml:space="preserve">Therefore, if a solution of </w:t>
      </w:r>
      <w:r w:rsidRPr="006808F2">
        <w:rPr>
          <w:noProof/>
          <w:position w:val="-14"/>
          <w:sz w:val="21"/>
          <w:szCs w:val="21"/>
          <w:lang w:val="en-US"/>
        </w:rPr>
        <w:drawing>
          <wp:inline distT="0" distB="0" distL="0" distR="0" wp14:anchorId="151BA238" wp14:editId="602AF2CB">
            <wp:extent cx="371475" cy="251460"/>
            <wp:effectExtent l="0" t="0" r="0" b="254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8F2">
        <w:rPr>
          <w:sz w:val="21"/>
          <w:szCs w:val="21"/>
          <w:lang w:val="en-US"/>
        </w:rPr>
        <w:t xml:space="preserve"> ions is titrated against potassium manganate (VII), the point at which all the Fe</w:t>
      </w:r>
      <w:r w:rsidRPr="006808F2">
        <w:rPr>
          <w:sz w:val="21"/>
          <w:szCs w:val="21"/>
          <w:vertAlign w:val="superscript"/>
          <w:lang w:val="en-US"/>
        </w:rPr>
        <w:t>2+</w:t>
      </w:r>
      <w:r w:rsidR="00CA5C7A">
        <w:rPr>
          <w:sz w:val="21"/>
          <w:szCs w:val="21"/>
          <w:lang w:val="en-US"/>
        </w:rPr>
        <w:t xml:space="preserve"> has been oxidiz</w:t>
      </w:r>
      <w:r w:rsidRPr="006808F2">
        <w:rPr>
          <w:sz w:val="21"/>
          <w:szCs w:val="21"/>
          <w:lang w:val="en-US"/>
        </w:rPr>
        <w:t xml:space="preserve">ed (i.e. the end point of the reaction) is when the titration mixture in the flask turns pale pink. At this point the addition of one more drop of purple </w:t>
      </w:r>
      <w:r w:rsidR="0046651B">
        <w:rPr>
          <w:sz w:val="21"/>
          <w:szCs w:val="21"/>
          <w:lang w:val="en-US"/>
        </w:rPr>
        <w:t>potassium permanganate</w:t>
      </w:r>
      <w:r w:rsidRPr="006808F2">
        <w:rPr>
          <w:sz w:val="21"/>
          <w:szCs w:val="21"/>
          <w:lang w:val="en-US"/>
        </w:rPr>
        <w:t xml:space="preserve"> solution turns the solution a </w:t>
      </w:r>
      <w:r w:rsidR="0046651B">
        <w:rPr>
          <w:sz w:val="21"/>
          <w:szCs w:val="21"/>
          <w:lang w:val="en-US"/>
        </w:rPr>
        <w:t>permanent pink colo</w:t>
      </w:r>
      <w:r w:rsidRPr="006808F2">
        <w:rPr>
          <w:sz w:val="21"/>
          <w:szCs w:val="21"/>
          <w:lang w:val="en-US"/>
        </w:rPr>
        <w:t>r. At this point</w:t>
      </w:r>
      <w:r w:rsidR="0046651B">
        <w:rPr>
          <w:sz w:val="21"/>
          <w:szCs w:val="21"/>
          <w:lang w:val="en-US"/>
        </w:rPr>
        <w:t>,</w:t>
      </w:r>
      <w:r w:rsidRPr="006808F2">
        <w:rPr>
          <w:sz w:val="21"/>
          <w:szCs w:val="21"/>
          <w:lang w:val="en-US"/>
        </w:rPr>
        <w:t xml:space="preserve"> all the Fe</w:t>
      </w:r>
      <w:r w:rsidRPr="006808F2">
        <w:rPr>
          <w:sz w:val="21"/>
          <w:szCs w:val="21"/>
          <w:vertAlign w:val="superscript"/>
          <w:lang w:val="en-US"/>
        </w:rPr>
        <w:t>2+</w:t>
      </w:r>
      <w:r w:rsidR="0046651B">
        <w:rPr>
          <w:sz w:val="21"/>
          <w:szCs w:val="21"/>
          <w:lang w:val="en-US"/>
        </w:rPr>
        <w:t xml:space="preserve"> ions have been oxidiz</w:t>
      </w:r>
      <w:r w:rsidRPr="006808F2">
        <w:rPr>
          <w:sz w:val="21"/>
          <w:szCs w:val="21"/>
          <w:lang w:val="en-US"/>
        </w:rPr>
        <w:t>ed to Fe</w:t>
      </w:r>
      <w:r w:rsidRPr="006808F2">
        <w:rPr>
          <w:sz w:val="21"/>
          <w:szCs w:val="21"/>
          <w:vertAlign w:val="superscript"/>
          <w:lang w:val="en-US"/>
        </w:rPr>
        <w:t>3+</w:t>
      </w:r>
      <w:r w:rsidRPr="006808F2">
        <w:rPr>
          <w:sz w:val="21"/>
          <w:szCs w:val="21"/>
          <w:lang w:val="en-US"/>
        </w:rPr>
        <w:t xml:space="preserve"> and this is the end point of the titration.</w:t>
      </w:r>
    </w:p>
    <w:p w:rsidR="007666DC" w:rsidRDefault="007666DC" w:rsidP="007666DC">
      <w:pPr>
        <w:rPr>
          <w:sz w:val="21"/>
          <w:szCs w:val="21"/>
          <w:lang w:val="en-US"/>
        </w:rPr>
      </w:pPr>
      <w:r w:rsidRPr="006808F2">
        <w:rPr>
          <w:sz w:val="21"/>
          <w:szCs w:val="21"/>
          <w:lang w:val="en-US"/>
        </w:rPr>
        <w:t>This titration forms the basis of the analytical technique used to estimate the amount of iron present.</w:t>
      </w:r>
    </w:p>
    <w:p w:rsidR="0018179A" w:rsidRPr="006808F2" w:rsidRDefault="0018179A" w:rsidP="007666DC">
      <w:pPr>
        <w:rPr>
          <w:sz w:val="21"/>
          <w:szCs w:val="21"/>
          <w:lang w:val="en-US"/>
        </w:rPr>
      </w:pPr>
    </w:p>
    <w:p w:rsidR="007666DC" w:rsidRPr="006808F2" w:rsidRDefault="007666DC" w:rsidP="007666DC">
      <w:pPr>
        <w:pStyle w:val="Paragraphedeliste"/>
        <w:numPr>
          <w:ilvl w:val="0"/>
          <w:numId w:val="28"/>
        </w:numPr>
        <w:spacing w:after="200"/>
        <w:rPr>
          <w:b/>
          <w:sz w:val="21"/>
          <w:szCs w:val="21"/>
          <w:lang w:val="en-US"/>
        </w:rPr>
      </w:pPr>
      <w:r w:rsidRPr="006808F2">
        <w:rPr>
          <w:b/>
          <w:sz w:val="21"/>
          <w:szCs w:val="21"/>
          <w:lang w:val="en-US"/>
        </w:rPr>
        <w:lastRenderedPageBreak/>
        <w:t>Experimental</w:t>
      </w:r>
    </w:p>
    <w:p w:rsidR="007666DC" w:rsidRPr="00290564" w:rsidRDefault="007666DC" w:rsidP="00290564">
      <w:pPr>
        <w:pStyle w:val="Paragraphedeliste"/>
        <w:numPr>
          <w:ilvl w:val="0"/>
          <w:numId w:val="35"/>
        </w:numPr>
        <w:rPr>
          <w:sz w:val="21"/>
          <w:szCs w:val="21"/>
          <w:lang w:val="en-US"/>
        </w:rPr>
      </w:pPr>
      <w:r w:rsidRPr="00290564">
        <w:rPr>
          <w:sz w:val="21"/>
          <w:szCs w:val="21"/>
          <w:lang w:val="en-US"/>
        </w:rPr>
        <w:t xml:space="preserve">Weigh </w:t>
      </w:r>
      <w:r w:rsidRPr="00290564">
        <w:rPr>
          <w:b/>
          <w:sz w:val="21"/>
          <w:szCs w:val="21"/>
          <w:lang w:val="en-US"/>
        </w:rPr>
        <w:t>accurately</w:t>
      </w:r>
      <w:r w:rsidRPr="00290564">
        <w:rPr>
          <w:sz w:val="21"/>
          <w:szCs w:val="21"/>
          <w:lang w:val="en-US"/>
        </w:rPr>
        <w:t xml:space="preserve"> one iron tablet. Record the weighing in your notebook.</w:t>
      </w:r>
    </w:p>
    <w:p w:rsidR="007666DC" w:rsidRPr="00290564" w:rsidRDefault="007666DC" w:rsidP="00290564">
      <w:pPr>
        <w:pStyle w:val="Paragraphedeliste"/>
        <w:numPr>
          <w:ilvl w:val="0"/>
          <w:numId w:val="35"/>
        </w:numPr>
        <w:rPr>
          <w:sz w:val="21"/>
          <w:szCs w:val="21"/>
          <w:lang w:val="en-US"/>
        </w:rPr>
      </w:pPr>
      <w:r w:rsidRPr="00290564">
        <w:rPr>
          <w:sz w:val="21"/>
          <w:szCs w:val="21"/>
          <w:lang w:val="en-US"/>
        </w:rPr>
        <w:t xml:space="preserve">Transfer the tablet to a pestle and mortar and grind </w:t>
      </w:r>
      <w:r w:rsidR="00290564">
        <w:rPr>
          <w:sz w:val="21"/>
          <w:szCs w:val="21"/>
          <w:lang w:val="en-US"/>
        </w:rPr>
        <w:t>it</w:t>
      </w:r>
      <w:r w:rsidRPr="00290564">
        <w:rPr>
          <w:sz w:val="21"/>
          <w:szCs w:val="21"/>
          <w:lang w:val="en-US"/>
        </w:rPr>
        <w:t xml:space="preserve"> with a little 1M sulfuric acid, taking care not to lose any grains of the tablets. Transfer the paste to a 100 cm</w:t>
      </w:r>
      <w:r w:rsidRPr="00290564">
        <w:rPr>
          <w:sz w:val="21"/>
          <w:szCs w:val="21"/>
          <w:vertAlign w:val="superscript"/>
          <w:lang w:val="en-US"/>
        </w:rPr>
        <w:t>3</w:t>
      </w:r>
      <w:r w:rsidRPr="00290564">
        <w:rPr>
          <w:sz w:val="21"/>
          <w:szCs w:val="21"/>
          <w:lang w:val="en-US"/>
        </w:rPr>
        <w:t xml:space="preserve"> </w:t>
      </w:r>
      <w:r w:rsidR="00290564">
        <w:rPr>
          <w:sz w:val="21"/>
          <w:szCs w:val="21"/>
          <w:lang w:val="en-US"/>
        </w:rPr>
        <w:t>volumetric</w:t>
      </w:r>
      <w:r w:rsidR="00290564" w:rsidRPr="00290564">
        <w:rPr>
          <w:sz w:val="21"/>
          <w:szCs w:val="21"/>
          <w:lang w:val="en-US"/>
        </w:rPr>
        <w:t xml:space="preserve"> </w:t>
      </w:r>
      <w:r w:rsidRPr="00290564">
        <w:rPr>
          <w:sz w:val="21"/>
          <w:szCs w:val="21"/>
          <w:lang w:val="en-US"/>
        </w:rPr>
        <w:t xml:space="preserve">flask, using a funnel. </w:t>
      </w:r>
    </w:p>
    <w:p w:rsidR="007666DC" w:rsidRPr="00290564" w:rsidRDefault="007666DC" w:rsidP="00290564">
      <w:pPr>
        <w:pStyle w:val="Paragraphedeliste"/>
        <w:numPr>
          <w:ilvl w:val="0"/>
          <w:numId w:val="35"/>
        </w:numPr>
        <w:rPr>
          <w:sz w:val="21"/>
          <w:szCs w:val="21"/>
          <w:lang w:val="en-US"/>
        </w:rPr>
      </w:pPr>
      <w:r w:rsidRPr="00290564">
        <w:rPr>
          <w:sz w:val="21"/>
          <w:szCs w:val="21"/>
          <w:lang w:val="en-US"/>
        </w:rPr>
        <w:t xml:space="preserve">Rinse all the remaining particles of the tablet out of the mortar and off the pestle using small portions of sulfuric acid. Add all the rinsings to the </w:t>
      </w:r>
      <w:r w:rsidR="00290564">
        <w:rPr>
          <w:sz w:val="21"/>
          <w:szCs w:val="21"/>
          <w:lang w:val="en-US"/>
        </w:rPr>
        <w:t>volumetric</w:t>
      </w:r>
      <w:r w:rsidRPr="00290564">
        <w:rPr>
          <w:sz w:val="21"/>
          <w:szCs w:val="21"/>
          <w:lang w:val="en-US"/>
        </w:rPr>
        <w:t xml:space="preserve"> flask. Make sure to rinse the funnel.</w:t>
      </w:r>
    </w:p>
    <w:p w:rsidR="007666DC" w:rsidRPr="00290564" w:rsidRDefault="007666DC" w:rsidP="00290564">
      <w:pPr>
        <w:pStyle w:val="Paragraphedeliste"/>
        <w:numPr>
          <w:ilvl w:val="0"/>
          <w:numId w:val="35"/>
        </w:numPr>
        <w:rPr>
          <w:sz w:val="21"/>
          <w:szCs w:val="21"/>
          <w:lang w:val="en-US"/>
        </w:rPr>
      </w:pPr>
      <w:r w:rsidRPr="00290564">
        <w:rPr>
          <w:sz w:val="21"/>
          <w:szCs w:val="21"/>
          <w:lang w:val="en-US"/>
        </w:rPr>
        <w:t>Then add 1M sulfuric acid to the flask until the level just reaches the 100 cm</w:t>
      </w:r>
      <w:r w:rsidRPr="00290564">
        <w:rPr>
          <w:sz w:val="21"/>
          <w:szCs w:val="21"/>
          <w:vertAlign w:val="superscript"/>
          <w:lang w:val="en-US"/>
        </w:rPr>
        <w:t>3</w:t>
      </w:r>
      <w:r w:rsidRPr="00290564">
        <w:rPr>
          <w:sz w:val="21"/>
          <w:szCs w:val="21"/>
          <w:lang w:val="en-US"/>
        </w:rPr>
        <w:t xml:space="preserve"> mark.</w:t>
      </w:r>
    </w:p>
    <w:p w:rsidR="007666DC" w:rsidRPr="00290564" w:rsidRDefault="007666DC" w:rsidP="00290564">
      <w:pPr>
        <w:pStyle w:val="Paragraphedeliste"/>
        <w:numPr>
          <w:ilvl w:val="0"/>
          <w:numId w:val="35"/>
        </w:numPr>
        <w:rPr>
          <w:sz w:val="21"/>
          <w:szCs w:val="21"/>
          <w:lang w:val="en-US"/>
        </w:rPr>
      </w:pPr>
      <w:r w:rsidRPr="00290564">
        <w:rPr>
          <w:sz w:val="21"/>
          <w:szCs w:val="21"/>
          <w:lang w:val="en-US"/>
        </w:rPr>
        <w:t xml:space="preserve">Place a stopper </w:t>
      </w:r>
      <w:r w:rsidR="00290564">
        <w:rPr>
          <w:sz w:val="21"/>
          <w:szCs w:val="21"/>
          <w:lang w:val="en-US"/>
        </w:rPr>
        <w:t>on</w:t>
      </w:r>
      <w:r w:rsidRPr="00290564">
        <w:rPr>
          <w:sz w:val="21"/>
          <w:szCs w:val="21"/>
          <w:lang w:val="en-US"/>
        </w:rPr>
        <w:t xml:space="preserve"> the flask and shake well to make sure the contents are thoroughly mixed. There will probably be some undissolved solid in the flask, but all the Fe</w:t>
      </w:r>
      <w:r w:rsidRPr="00290564">
        <w:rPr>
          <w:sz w:val="21"/>
          <w:szCs w:val="21"/>
          <w:vertAlign w:val="superscript"/>
          <w:lang w:val="en-US"/>
        </w:rPr>
        <w:t>2+</w:t>
      </w:r>
      <w:r w:rsidRPr="00290564">
        <w:rPr>
          <w:sz w:val="21"/>
          <w:szCs w:val="21"/>
          <w:lang w:val="en-US"/>
        </w:rPr>
        <w:t xml:space="preserve"> should now be in solution. </w:t>
      </w:r>
    </w:p>
    <w:p w:rsidR="007666DC" w:rsidRPr="00290564" w:rsidRDefault="007666DC" w:rsidP="00290564">
      <w:pPr>
        <w:pStyle w:val="Paragraphedeliste"/>
        <w:numPr>
          <w:ilvl w:val="0"/>
          <w:numId w:val="35"/>
        </w:numPr>
        <w:rPr>
          <w:sz w:val="21"/>
          <w:szCs w:val="21"/>
          <w:lang w:val="en-US"/>
        </w:rPr>
      </w:pPr>
      <w:r w:rsidRPr="00290564">
        <w:rPr>
          <w:sz w:val="21"/>
          <w:szCs w:val="21"/>
          <w:lang w:val="en-US"/>
        </w:rPr>
        <w:t>Pipette out a 10 cm</w:t>
      </w:r>
      <w:r w:rsidRPr="00290564">
        <w:rPr>
          <w:sz w:val="21"/>
          <w:szCs w:val="21"/>
          <w:vertAlign w:val="superscript"/>
          <w:lang w:val="en-US"/>
        </w:rPr>
        <w:t>3</w:t>
      </w:r>
      <w:r w:rsidRPr="00290564">
        <w:rPr>
          <w:sz w:val="21"/>
          <w:szCs w:val="21"/>
          <w:lang w:val="en-US"/>
        </w:rPr>
        <w:t xml:space="preserve"> portion of the solution using a pipette filler. Add 20 cm</w:t>
      </w:r>
      <w:r w:rsidRPr="00290564">
        <w:rPr>
          <w:sz w:val="21"/>
          <w:szCs w:val="21"/>
          <w:vertAlign w:val="superscript"/>
          <w:lang w:val="en-US"/>
        </w:rPr>
        <w:t>3</w:t>
      </w:r>
      <w:r w:rsidRPr="00290564">
        <w:rPr>
          <w:sz w:val="21"/>
          <w:szCs w:val="21"/>
          <w:lang w:val="en-US"/>
        </w:rPr>
        <w:t xml:space="preserve"> of 1M sulfuric acid. Titrate the solution with 0,0020M </w:t>
      </w:r>
      <w:r w:rsidR="00CE1BAE">
        <w:rPr>
          <w:sz w:val="21"/>
          <w:szCs w:val="21"/>
          <w:lang w:val="en-US"/>
        </w:rPr>
        <w:t>potassium permanganate solution</w:t>
      </w:r>
      <w:r w:rsidRPr="00290564">
        <w:rPr>
          <w:sz w:val="21"/>
          <w:szCs w:val="21"/>
          <w:lang w:val="en-US"/>
        </w:rPr>
        <w:t>, shaking the flask well after each addition. The end point i</w:t>
      </w:r>
      <w:r w:rsidR="00290564">
        <w:rPr>
          <w:sz w:val="21"/>
          <w:szCs w:val="21"/>
          <w:lang w:val="en-US"/>
        </w:rPr>
        <w:t>s the first permanent pink colo</w:t>
      </w:r>
      <w:r w:rsidRPr="00290564">
        <w:rPr>
          <w:sz w:val="21"/>
          <w:szCs w:val="21"/>
          <w:lang w:val="en-US"/>
        </w:rPr>
        <w:t>r. This indicates that there are no Fe</w:t>
      </w:r>
      <w:r w:rsidRPr="00290564">
        <w:rPr>
          <w:sz w:val="21"/>
          <w:szCs w:val="21"/>
          <w:vertAlign w:val="superscript"/>
          <w:lang w:val="en-US"/>
        </w:rPr>
        <w:t>2+</w:t>
      </w:r>
      <w:r w:rsidRPr="00290564">
        <w:rPr>
          <w:sz w:val="21"/>
          <w:szCs w:val="21"/>
          <w:lang w:val="en-US"/>
        </w:rPr>
        <w:t xml:space="preserve"> ions remaining to react with the </w:t>
      </w:r>
      <w:r w:rsidRPr="006808F2">
        <w:rPr>
          <w:noProof/>
          <w:position w:val="-14"/>
          <w:lang w:val="en-US"/>
        </w:rPr>
        <w:drawing>
          <wp:inline distT="0" distB="0" distL="0" distR="0" wp14:anchorId="6AB13547" wp14:editId="2B55D556">
            <wp:extent cx="572770" cy="251460"/>
            <wp:effectExtent l="0" t="0" r="0" b="254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564">
        <w:rPr>
          <w:sz w:val="21"/>
          <w:szCs w:val="21"/>
          <w:lang w:val="en-US"/>
        </w:rPr>
        <w:t>.</w:t>
      </w:r>
    </w:p>
    <w:p w:rsidR="007666DC" w:rsidRPr="00290564" w:rsidRDefault="007666DC" w:rsidP="00290564">
      <w:pPr>
        <w:pStyle w:val="Paragraphedeliste"/>
        <w:numPr>
          <w:ilvl w:val="0"/>
          <w:numId w:val="35"/>
        </w:numPr>
        <w:rPr>
          <w:sz w:val="21"/>
          <w:szCs w:val="21"/>
          <w:lang w:val="en-US"/>
        </w:rPr>
      </w:pPr>
      <w:r w:rsidRPr="00290564">
        <w:rPr>
          <w:sz w:val="21"/>
          <w:szCs w:val="21"/>
          <w:lang w:val="en-US"/>
        </w:rPr>
        <w:t xml:space="preserve">Carry out one rough titration and then carry out further titrations until consistent results are obtained according to the International Standard ISO 5725-6. </w:t>
      </w:r>
    </w:p>
    <w:p w:rsidR="007666DC" w:rsidRPr="00290564" w:rsidRDefault="007666DC" w:rsidP="00290564">
      <w:pPr>
        <w:pStyle w:val="Paragraphedeliste"/>
        <w:numPr>
          <w:ilvl w:val="0"/>
          <w:numId w:val="35"/>
        </w:numPr>
        <w:rPr>
          <w:sz w:val="21"/>
          <w:szCs w:val="21"/>
          <w:lang w:val="en-US"/>
        </w:rPr>
      </w:pPr>
      <w:r w:rsidRPr="00290564">
        <w:rPr>
          <w:sz w:val="21"/>
          <w:szCs w:val="21"/>
          <w:lang w:val="en-US"/>
        </w:rPr>
        <w:t>Write a report of your method including any observations.</w:t>
      </w:r>
    </w:p>
    <w:p w:rsidR="00C5147D" w:rsidRPr="006808F2" w:rsidRDefault="00C5147D" w:rsidP="007666DC">
      <w:pPr>
        <w:rPr>
          <w:sz w:val="21"/>
          <w:szCs w:val="21"/>
          <w:lang w:val="en-US"/>
        </w:rPr>
      </w:pPr>
    </w:p>
    <w:p w:rsidR="007666DC" w:rsidRPr="006808F2" w:rsidRDefault="007666DC" w:rsidP="007666DC">
      <w:pPr>
        <w:pStyle w:val="Paragraphedeliste"/>
        <w:numPr>
          <w:ilvl w:val="0"/>
          <w:numId w:val="28"/>
        </w:numPr>
        <w:spacing w:after="200"/>
        <w:rPr>
          <w:b/>
          <w:sz w:val="21"/>
          <w:szCs w:val="21"/>
          <w:u w:val="single"/>
          <w:lang w:val="en-US"/>
        </w:rPr>
      </w:pPr>
      <w:r w:rsidRPr="006808F2">
        <w:rPr>
          <w:b/>
          <w:sz w:val="21"/>
          <w:szCs w:val="21"/>
          <w:u w:val="single"/>
          <w:lang w:val="en-US"/>
        </w:rPr>
        <w:t xml:space="preserve">Results </w:t>
      </w:r>
      <w:r w:rsidRPr="006808F2">
        <w:rPr>
          <w:sz w:val="21"/>
          <w:szCs w:val="21"/>
          <w:u w:val="single"/>
          <w:lang w:val="en-US"/>
        </w:rPr>
        <w:t xml:space="preserve">(report </w:t>
      </w:r>
      <w:r w:rsidR="00290564">
        <w:rPr>
          <w:sz w:val="21"/>
          <w:szCs w:val="21"/>
          <w:u w:val="single"/>
          <w:lang w:val="en-US"/>
        </w:rPr>
        <w:t>all</w:t>
      </w:r>
      <w:r w:rsidRPr="006808F2">
        <w:rPr>
          <w:sz w:val="21"/>
          <w:szCs w:val="21"/>
          <w:u w:val="single"/>
          <w:lang w:val="en-US"/>
        </w:rPr>
        <w:t xml:space="preserve"> results in your notebook)</w:t>
      </w:r>
    </w:p>
    <w:p w:rsidR="007666DC" w:rsidRPr="006808F2" w:rsidRDefault="00290564" w:rsidP="00C5147D">
      <w:pPr>
        <w:spacing w:before="120" w:after="12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Mass of iron tablets used</w:t>
      </w:r>
      <w:r w:rsidR="007666DC" w:rsidRPr="006808F2">
        <w:rPr>
          <w:sz w:val="21"/>
          <w:szCs w:val="21"/>
          <w:lang w:val="en-US"/>
        </w:rPr>
        <w:t>:</w:t>
      </w:r>
    </w:p>
    <w:p w:rsidR="007666DC" w:rsidRPr="006808F2" w:rsidRDefault="00290564" w:rsidP="00C5147D">
      <w:pPr>
        <w:spacing w:before="120" w:after="12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Volume of iron solution used</w:t>
      </w:r>
      <w:r w:rsidR="007666DC" w:rsidRPr="006808F2">
        <w:rPr>
          <w:sz w:val="21"/>
          <w:szCs w:val="21"/>
          <w:lang w:val="en-US"/>
        </w:rPr>
        <w:t>:</w:t>
      </w:r>
    </w:p>
    <w:p w:rsidR="007666DC" w:rsidRPr="006808F2" w:rsidRDefault="007666DC" w:rsidP="00C5147D">
      <w:pPr>
        <w:spacing w:before="120" w:after="120" w:line="240" w:lineRule="auto"/>
        <w:rPr>
          <w:sz w:val="21"/>
          <w:szCs w:val="21"/>
          <w:lang w:val="en-US"/>
        </w:rPr>
      </w:pPr>
      <w:r w:rsidRPr="006808F2">
        <w:rPr>
          <w:sz w:val="21"/>
          <w:szCs w:val="21"/>
          <w:lang w:val="en-US"/>
        </w:rPr>
        <w:t xml:space="preserve">Molarity of </w:t>
      </w:r>
      <w:r w:rsidR="00CE1BAE">
        <w:rPr>
          <w:sz w:val="21"/>
          <w:szCs w:val="21"/>
          <w:lang w:val="en-US"/>
        </w:rPr>
        <w:t xml:space="preserve">potassium permanganate </w:t>
      </w:r>
      <w:r w:rsidRPr="006808F2">
        <w:rPr>
          <w:sz w:val="21"/>
          <w:szCs w:val="21"/>
          <w:lang w:val="en-US"/>
        </w:rPr>
        <w:t xml:space="preserve">solution = </w:t>
      </w:r>
    </w:p>
    <w:p w:rsidR="007666DC" w:rsidRPr="006808F2" w:rsidRDefault="00290564" w:rsidP="00C5147D">
      <w:pPr>
        <w:spacing w:before="120" w:after="12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Titration results</w:t>
      </w:r>
      <w:r w:rsidR="007666DC" w:rsidRPr="006808F2">
        <w:rPr>
          <w:sz w:val="21"/>
          <w:szCs w:val="21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3"/>
        <w:gridCol w:w="1983"/>
        <w:gridCol w:w="1880"/>
        <w:gridCol w:w="1879"/>
        <w:gridCol w:w="1753"/>
      </w:tblGrid>
      <w:tr w:rsidR="007666DC" w:rsidRPr="006808F2" w:rsidTr="004A3CAE">
        <w:tc>
          <w:tcPr>
            <w:tcW w:w="2660" w:type="dxa"/>
          </w:tcPr>
          <w:p w:rsidR="007666DC" w:rsidRPr="006808F2" w:rsidRDefault="007666DC" w:rsidP="007666D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:rsidR="007666DC" w:rsidRPr="006808F2" w:rsidRDefault="007666DC" w:rsidP="007666DC">
            <w:pPr>
              <w:rPr>
                <w:b/>
                <w:sz w:val="21"/>
                <w:szCs w:val="21"/>
                <w:lang w:val="en-US"/>
              </w:rPr>
            </w:pPr>
            <w:r w:rsidRPr="006808F2">
              <w:rPr>
                <w:b/>
                <w:sz w:val="21"/>
                <w:szCs w:val="21"/>
                <w:lang w:val="en-US"/>
              </w:rPr>
              <w:t>Rough</w:t>
            </w:r>
          </w:p>
        </w:tc>
        <w:tc>
          <w:tcPr>
            <w:tcW w:w="1985" w:type="dxa"/>
          </w:tcPr>
          <w:p w:rsidR="007666DC" w:rsidRPr="006808F2" w:rsidRDefault="007666DC" w:rsidP="007666DC">
            <w:pPr>
              <w:rPr>
                <w:b/>
                <w:sz w:val="21"/>
                <w:szCs w:val="21"/>
                <w:lang w:val="en-US"/>
              </w:rPr>
            </w:pPr>
            <w:r w:rsidRPr="006808F2">
              <w:rPr>
                <w:b/>
                <w:sz w:val="21"/>
                <w:szCs w:val="21"/>
                <w:lang w:val="en-US"/>
              </w:rPr>
              <w:t>1</w:t>
            </w:r>
            <w:r w:rsidRPr="006808F2">
              <w:rPr>
                <w:b/>
                <w:sz w:val="21"/>
                <w:szCs w:val="21"/>
                <w:vertAlign w:val="superscript"/>
                <w:lang w:val="en-US"/>
              </w:rPr>
              <w:t>st</w:t>
            </w:r>
            <w:r w:rsidRPr="006808F2">
              <w:rPr>
                <w:b/>
                <w:sz w:val="21"/>
                <w:szCs w:val="21"/>
                <w:lang w:val="en-US"/>
              </w:rPr>
              <w:t xml:space="preserve"> Accurate</w:t>
            </w:r>
          </w:p>
        </w:tc>
        <w:tc>
          <w:tcPr>
            <w:tcW w:w="1984" w:type="dxa"/>
          </w:tcPr>
          <w:p w:rsidR="007666DC" w:rsidRPr="006808F2" w:rsidRDefault="007666DC" w:rsidP="007666DC">
            <w:pPr>
              <w:rPr>
                <w:b/>
                <w:sz w:val="21"/>
                <w:szCs w:val="21"/>
                <w:lang w:val="en-US"/>
              </w:rPr>
            </w:pPr>
            <w:r w:rsidRPr="006808F2">
              <w:rPr>
                <w:b/>
                <w:sz w:val="21"/>
                <w:szCs w:val="21"/>
                <w:lang w:val="en-US"/>
              </w:rPr>
              <w:t>2</w:t>
            </w:r>
            <w:r w:rsidRPr="006808F2">
              <w:rPr>
                <w:b/>
                <w:sz w:val="21"/>
                <w:szCs w:val="21"/>
                <w:vertAlign w:val="superscript"/>
                <w:lang w:val="en-US"/>
              </w:rPr>
              <w:t>nd</w:t>
            </w:r>
            <w:r w:rsidRPr="006808F2">
              <w:rPr>
                <w:b/>
                <w:sz w:val="21"/>
                <w:szCs w:val="21"/>
                <w:lang w:val="en-US"/>
              </w:rPr>
              <w:t xml:space="preserve"> Accurate</w:t>
            </w:r>
          </w:p>
        </w:tc>
        <w:tc>
          <w:tcPr>
            <w:tcW w:w="1843" w:type="dxa"/>
          </w:tcPr>
          <w:p w:rsidR="007666DC" w:rsidRPr="006808F2" w:rsidRDefault="007666DC" w:rsidP="007666DC">
            <w:pPr>
              <w:rPr>
                <w:b/>
                <w:sz w:val="21"/>
                <w:szCs w:val="21"/>
                <w:lang w:val="en-US"/>
              </w:rPr>
            </w:pPr>
            <w:r w:rsidRPr="006808F2">
              <w:rPr>
                <w:b/>
                <w:sz w:val="21"/>
                <w:szCs w:val="21"/>
                <w:lang w:val="en-US"/>
              </w:rPr>
              <w:t>3</w:t>
            </w:r>
            <w:r w:rsidRPr="006808F2">
              <w:rPr>
                <w:b/>
                <w:sz w:val="21"/>
                <w:szCs w:val="21"/>
                <w:vertAlign w:val="superscript"/>
                <w:lang w:val="en-US"/>
              </w:rPr>
              <w:t>rd</w:t>
            </w:r>
            <w:r w:rsidRPr="006808F2">
              <w:rPr>
                <w:b/>
                <w:sz w:val="21"/>
                <w:szCs w:val="21"/>
                <w:lang w:val="en-US"/>
              </w:rPr>
              <w:t xml:space="preserve"> Accurate</w:t>
            </w:r>
          </w:p>
        </w:tc>
      </w:tr>
      <w:tr w:rsidR="007666DC" w:rsidRPr="006808F2" w:rsidTr="004A3CAE">
        <w:trPr>
          <w:trHeight w:val="567"/>
        </w:trPr>
        <w:tc>
          <w:tcPr>
            <w:tcW w:w="2660" w:type="dxa"/>
            <w:vAlign w:val="center"/>
          </w:tcPr>
          <w:p w:rsidR="007666DC" w:rsidRPr="006808F2" w:rsidRDefault="007666DC" w:rsidP="007666DC">
            <w:pPr>
              <w:rPr>
                <w:b/>
                <w:sz w:val="21"/>
                <w:szCs w:val="21"/>
                <w:lang w:val="en-US"/>
              </w:rPr>
            </w:pPr>
            <w:r w:rsidRPr="006808F2">
              <w:rPr>
                <w:b/>
                <w:sz w:val="21"/>
                <w:szCs w:val="21"/>
                <w:lang w:val="en-US"/>
              </w:rPr>
              <w:t>Volume used / cm</w:t>
            </w:r>
            <w:r w:rsidRPr="006808F2">
              <w:rPr>
                <w:b/>
                <w:sz w:val="21"/>
                <w:szCs w:val="21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</w:tcPr>
          <w:p w:rsidR="007666DC" w:rsidRPr="006808F2" w:rsidRDefault="007666DC" w:rsidP="007666D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:rsidR="007666DC" w:rsidRPr="006808F2" w:rsidRDefault="007666DC" w:rsidP="007666D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7666DC" w:rsidRPr="006808F2" w:rsidRDefault="007666DC" w:rsidP="007666D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7666DC" w:rsidRPr="006808F2" w:rsidRDefault="007666DC" w:rsidP="007666DC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7666DC" w:rsidRPr="006808F2" w:rsidRDefault="007666DC" w:rsidP="007666DC">
      <w:pPr>
        <w:rPr>
          <w:sz w:val="21"/>
          <w:szCs w:val="21"/>
          <w:lang w:val="en-US"/>
        </w:rPr>
      </w:pPr>
    </w:p>
    <w:p w:rsidR="007666DC" w:rsidRDefault="007666DC" w:rsidP="007666DC">
      <w:pPr>
        <w:rPr>
          <w:sz w:val="21"/>
          <w:szCs w:val="21"/>
          <w:lang w:val="en-US"/>
        </w:rPr>
      </w:pPr>
      <w:r w:rsidRPr="006808F2">
        <w:rPr>
          <w:sz w:val="21"/>
          <w:szCs w:val="21"/>
          <w:lang w:val="en-US"/>
        </w:rPr>
        <w:t xml:space="preserve">Find the mass of iron in the tablet and give your result by </w:t>
      </w:r>
      <w:r w:rsidR="00C5147D">
        <w:rPr>
          <w:sz w:val="21"/>
          <w:szCs w:val="21"/>
          <w:lang w:val="en-US"/>
        </w:rPr>
        <w:t>taking</w:t>
      </w:r>
      <w:r w:rsidR="00290564">
        <w:rPr>
          <w:sz w:val="21"/>
          <w:szCs w:val="21"/>
          <w:lang w:val="en-US"/>
        </w:rPr>
        <w:t xml:space="preserve"> into account an accuracy of 1.</w:t>
      </w:r>
      <w:r w:rsidRPr="006808F2">
        <w:rPr>
          <w:sz w:val="21"/>
          <w:szCs w:val="21"/>
          <w:lang w:val="en-US"/>
        </w:rPr>
        <w:t>2%.</w:t>
      </w:r>
    </w:p>
    <w:p w:rsidR="00D74432" w:rsidRDefault="00D74432" w:rsidP="007666DC">
      <w:pPr>
        <w:rPr>
          <w:sz w:val="21"/>
          <w:szCs w:val="21"/>
          <w:lang w:val="en-US"/>
        </w:rPr>
      </w:pPr>
    </w:p>
    <w:p w:rsidR="00D74432" w:rsidRDefault="00D74432" w:rsidP="007666DC">
      <w:pPr>
        <w:rPr>
          <w:sz w:val="21"/>
          <w:szCs w:val="21"/>
          <w:lang w:val="en-US"/>
        </w:rPr>
      </w:pPr>
    </w:p>
    <w:p w:rsidR="00D74432" w:rsidRDefault="00D74432" w:rsidP="007666DC">
      <w:pPr>
        <w:rPr>
          <w:sz w:val="21"/>
          <w:szCs w:val="21"/>
          <w:lang w:val="en-US"/>
        </w:rPr>
      </w:pPr>
    </w:p>
    <w:p w:rsidR="00D74432" w:rsidRDefault="00D74432" w:rsidP="007666DC">
      <w:pPr>
        <w:rPr>
          <w:sz w:val="21"/>
          <w:szCs w:val="21"/>
          <w:lang w:val="en-US"/>
        </w:rPr>
      </w:pPr>
    </w:p>
    <w:p w:rsidR="00D74432" w:rsidRPr="006808F2" w:rsidRDefault="00D74432" w:rsidP="00D74432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Determine the percentage of iron present in the tablet</w:t>
      </w:r>
      <w:r w:rsidRPr="006808F2">
        <w:rPr>
          <w:sz w:val="21"/>
          <w:szCs w:val="21"/>
          <w:lang w:val="en-US"/>
        </w:rPr>
        <w:t>.</w:t>
      </w:r>
    </w:p>
    <w:p w:rsidR="00D74432" w:rsidRPr="006808F2" w:rsidRDefault="00D74432" w:rsidP="007666DC">
      <w:pPr>
        <w:rPr>
          <w:sz w:val="21"/>
          <w:szCs w:val="21"/>
          <w:lang w:val="en-US"/>
        </w:rPr>
      </w:pPr>
    </w:p>
    <w:p w:rsidR="00A200B0" w:rsidRPr="005470C5" w:rsidRDefault="00A200B0" w:rsidP="007666DC">
      <w:pPr>
        <w:rPr>
          <w:sz w:val="21"/>
          <w:szCs w:val="21"/>
          <w:lang w:val="en-US"/>
        </w:rPr>
      </w:pPr>
    </w:p>
    <w:p w:rsidR="005E7F2C" w:rsidRPr="005470C5" w:rsidRDefault="005E7F2C" w:rsidP="007666DC">
      <w:pPr>
        <w:rPr>
          <w:rFonts w:ascii="Cambria" w:hAnsi="Cambria"/>
          <w:sz w:val="21"/>
          <w:szCs w:val="21"/>
          <w:lang w:val="en-US"/>
        </w:rPr>
      </w:pPr>
    </w:p>
    <w:p w:rsidR="005E7F2C" w:rsidRPr="005470C5" w:rsidRDefault="005E7F2C" w:rsidP="007666DC">
      <w:pPr>
        <w:rPr>
          <w:rFonts w:ascii="Cambria" w:hAnsi="Cambria"/>
          <w:sz w:val="21"/>
          <w:szCs w:val="21"/>
          <w:lang w:val="en-US"/>
        </w:rPr>
      </w:pPr>
    </w:p>
    <w:p w:rsidR="005E7F2C" w:rsidRPr="005470C5" w:rsidRDefault="005E7F2C" w:rsidP="007666DC">
      <w:pPr>
        <w:rPr>
          <w:rFonts w:ascii="Cambria" w:hAnsi="Cambria"/>
          <w:sz w:val="21"/>
          <w:szCs w:val="21"/>
          <w:lang w:val="en-US"/>
        </w:rPr>
      </w:pPr>
    </w:p>
    <w:p w:rsidR="000042E0" w:rsidRPr="005470C5" w:rsidRDefault="000042E0" w:rsidP="007666DC">
      <w:pPr>
        <w:rPr>
          <w:sz w:val="21"/>
          <w:szCs w:val="21"/>
          <w:lang w:val="en-US"/>
        </w:rPr>
      </w:pPr>
    </w:p>
    <w:p w:rsidR="00501619" w:rsidRPr="005470C5" w:rsidRDefault="00501619" w:rsidP="007666DC">
      <w:pPr>
        <w:rPr>
          <w:sz w:val="21"/>
          <w:szCs w:val="21"/>
          <w:lang w:val="en-US"/>
        </w:rPr>
      </w:pPr>
    </w:p>
    <w:p w:rsidR="00641436" w:rsidRPr="005470C5" w:rsidRDefault="00641436" w:rsidP="007666DC">
      <w:pPr>
        <w:rPr>
          <w:sz w:val="21"/>
          <w:szCs w:val="21"/>
          <w:lang w:val="en-US"/>
        </w:rPr>
      </w:pPr>
    </w:p>
    <w:p w:rsidR="00641436" w:rsidRPr="005470C5" w:rsidRDefault="00641436" w:rsidP="007666DC">
      <w:pPr>
        <w:rPr>
          <w:sz w:val="21"/>
          <w:szCs w:val="21"/>
          <w:lang w:val="en-US"/>
        </w:rPr>
      </w:pPr>
    </w:p>
    <w:p w:rsidR="00641436" w:rsidRPr="005470C5" w:rsidRDefault="00641436" w:rsidP="007666DC">
      <w:pPr>
        <w:rPr>
          <w:sz w:val="21"/>
          <w:szCs w:val="21"/>
          <w:lang w:val="en-US"/>
        </w:rPr>
      </w:pPr>
    </w:p>
    <w:p w:rsidR="00641436" w:rsidRPr="005470C5" w:rsidRDefault="00641436" w:rsidP="007666DC">
      <w:pPr>
        <w:rPr>
          <w:sz w:val="21"/>
          <w:szCs w:val="21"/>
          <w:lang w:val="en-US"/>
        </w:rPr>
      </w:pPr>
    </w:p>
    <w:p w:rsidR="00641436" w:rsidRPr="005470C5" w:rsidRDefault="00641436" w:rsidP="00762C8B">
      <w:pPr>
        <w:rPr>
          <w:lang w:val="en-US"/>
        </w:rPr>
      </w:pPr>
    </w:p>
    <w:p w:rsidR="00641436" w:rsidRDefault="00641436" w:rsidP="00762C8B">
      <w:pPr>
        <w:rPr>
          <w:lang w:val="en-US"/>
        </w:rPr>
      </w:pPr>
    </w:p>
    <w:p w:rsidR="00641436" w:rsidRPr="00E169F8" w:rsidRDefault="00641436" w:rsidP="00762C8B">
      <w:pPr>
        <w:rPr>
          <w:lang w:val="en-US"/>
        </w:rPr>
      </w:pPr>
    </w:p>
    <w:p w:rsidR="00ED53FE" w:rsidRDefault="007A12AF" w:rsidP="00906EA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C99CB4C" wp14:editId="2318E2D3">
                <wp:extent cx="6204247" cy="609600"/>
                <wp:effectExtent l="0" t="0" r="19050" b="1079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247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2AF" w:rsidRPr="00CA5C7A" w:rsidRDefault="007A12AF" w:rsidP="007A12AF">
                            <w:pPr>
                              <w:spacing w:before="60" w:after="120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DOCUMENT</w:t>
                            </w:r>
                            <w:r w:rsidR="006B1F60" w:rsidRPr="00CA5C7A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: Safety Information Sheet</w:t>
                            </w:r>
                            <w:r w:rsidRPr="00CA5C7A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6B1F60" w:rsidRPr="00CA5C7A" w:rsidRDefault="006B1F60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This information must be read BEFORE the experiment is attempted.</w:t>
                            </w:r>
                          </w:p>
                          <w:p w:rsidR="006B1F60" w:rsidRPr="00CA5C7A" w:rsidRDefault="006B1F60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You are then required to sign the declaration at the bottom of the sheet and have this countersigned by a demonstrator or member of staff BEFORE commencing the practical.</w:t>
                            </w:r>
                          </w:p>
                          <w:p w:rsidR="00A8407C" w:rsidRPr="00CA5C7A" w:rsidRDefault="006B1F60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DO NOT SIGN this form until you are satisfied that you appreciate the hazards associated with all aspects of this experiment.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87"/>
                            </w:tblGrid>
                            <w:tr w:rsidR="007B43AD" w:rsidRPr="00CA5C7A" w:rsidTr="00070906">
                              <w:tc>
                                <w:tcPr>
                                  <w:tcW w:w="9687" w:type="dxa"/>
                                </w:tcPr>
                                <w:p w:rsidR="00A8407C" w:rsidRPr="00CA5C7A" w:rsidRDefault="00A8407C" w:rsidP="006B1F60">
                                  <w:pPr>
                                    <w:rPr>
                                      <w:rFonts w:cstheme="minorHAnsi"/>
                                      <w:sz w:val="22"/>
                                      <w:highlight w:val="lightGray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407C" w:rsidRPr="00CA5C7A" w:rsidTr="00070906">
                              <w:tc>
                                <w:tcPr>
                                  <w:tcW w:w="9687" w:type="dxa"/>
                                </w:tcPr>
                                <w:p w:rsidR="00A8407C" w:rsidRPr="00CA5C7A" w:rsidRDefault="00A8407C" w:rsidP="00A8407C">
                                  <w:pPr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A8407C" w:rsidRPr="00CA5C7A" w:rsidRDefault="00A8407C" w:rsidP="00A8407C">
                                  <w:pPr>
                                    <w:rPr>
                                      <w:rFonts w:cstheme="minorHAnsi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Potassium manganate (VII) solution (0,002M) is an oxidant, </w:t>
                                  </w:r>
                                  <w:r w:rsidRPr="00CA5C7A">
                                    <w:rPr>
                                      <w:rFonts w:cstheme="minorHAnsi"/>
                                      <w:b/>
                                      <w:sz w:val="22"/>
                                      <w:lang w:val="en-US"/>
                                    </w:rPr>
                                    <w:t>but represents</w:t>
                                  </w: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CA5C7A">
                                    <w:rPr>
                                      <w:rFonts w:cstheme="minorHAnsi"/>
                                      <w:b/>
                                      <w:sz w:val="22"/>
                                      <w:lang w:val="en-US"/>
                                    </w:rPr>
                                    <w:t>no serious hazard (at this concentration) however, avoid ingestion and skin and eye contact.</w:t>
                                  </w:r>
                                </w:p>
                                <w:p w:rsidR="00A8407C" w:rsidRPr="00CA5C7A" w:rsidRDefault="00A8407C" w:rsidP="00A8407C">
                                  <w:pPr>
                                    <w:rPr>
                                      <w:rFonts w:cstheme="minorHAnsi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A8407C" w:rsidRPr="00CA5C7A" w:rsidRDefault="00A8407C" w:rsidP="00A8407C">
                                  <w:pPr>
                                    <w:rPr>
                                      <w:rFonts w:cstheme="minorHAnsi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    </w:t>
                                  </w:r>
                                  <w:r w:rsidRPr="00CA5C7A">
                                    <w:rPr>
                                      <w:rFonts w:cstheme="minorHAnsi"/>
                                      <w:sz w:val="22"/>
                                    </w:rPr>
                                    <w:sym w:font="Wingdings" w:char="F0E0"/>
                                  </w: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See the Safety Data Sheet</w:t>
                                  </w:r>
                                </w:p>
                                <w:p w:rsidR="00A8407C" w:rsidRPr="00CA5C7A" w:rsidRDefault="00A8407C" w:rsidP="00641436">
                                  <w:pPr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B43AD" w:rsidRPr="00CA5C7A" w:rsidTr="00070906">
                              <w:tc>
                                <w:tcPr>
                                  <w:tcW w:w="9687" w:type="dxa"/>
                                </w:tcPr>
                                <w:p w:rsidR="00641436" w:rsidRPr="00CA5C7A" w:rsidRDefault="00641436" w:rsidP="00641436">
                                  <w:pPr>
                                    <w:rPr>
                                      <w:rFonts w:cstheme="minorHAnsi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641436" w:rsidRPr="00CA5C7A" w:rsidRDefault="00641436" w:rsidP="00641436">
                                  <w:pPr>
                                    <w:rPr>
                                      <w:rFonts w:cstheme="minorHAnsi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Sulphuric acid (1.0 M) is corrosive – </w:t>
                                  </w:r>
                                  <w:r w:rsidRPr="00CA5C7A">
                                    <w:rPr>
                                      <w:rFonts w:cstheme="minorHAnsi"/>
                                      <w:b/>
                                      <w:sz w:val="22"/>
                                      <w:lang w:val="en-US"/>
                                    </w:rPr>
                                    <w:t>avoid contact with skin and eyes.</w:t>
                                  </w:r>
                                </w:p>
                                <w:p w:rsidR="00DC5252" w:rsidRPr="00CA5C7A" w:rsidRDefault="00DC5252" w:rsidP="00641436">
                                  <w:pPr>
                                    <w:rPr>
                                      <w:rFonts w:cstheme="minorHAnsi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081F27" w:rsidRPr="00CA5C7A" w:rsidRDefault="00081F27" w:rsidP="00641436">
                                  <w:pPr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</w:pP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    </w:t>
                                  </w:r>
                                  <w:r w:rsidRPr="00CA5C7A">
                                    <w:rPr>
                                      <w:rFonts w:cstheme="minorHAnsi"/>
                                      <w:sz w:val="22"/>
                                    </w:rPr>
                                    <w:sym w:font="Wingdings" w:char="F0E0"/>
                                  </w: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See the Safety Data Sheet</w:t>
                                  </w:r>
                                  <w:r w:rsidR="00290564"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of </w:t>
                                  </w: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>sulfuric acid 2.5 mol/l</w:t>
                                  </w:r>
                                </w:p>
                                <w:p w:rsidR="00081F27" w:rsidRPr="00CA5C7A" w:rsidRDefault="00081F27" w:rsidP="00641436">
                                  <w:pPr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</w:pP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    </w:t>
                                  </w:r>
                                  <w:r w:rsidRPr="00CA5C7A">
                                    <w:rPr>
                                      <w:rFonts w:cstheme="minorHAnsi"/>
                                      <w:sz w:val="22"/>
                                    </w:rPr>
                                    <w:sym w:font="Wingdings" w:char="F0E0"/>
                                  </w: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See the Safety Data Sheet</w:t>
                                  </w:r>
                                  <w:r w:rsidR="00290564"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of</w:t>
                                  </w:r>
                                  <w:r w:rsidRPr="00CA5C7A"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  <w:t xml:space="preserve"> sulfuric acid 0.5 mol/l</w:t>
                                  </w:r>
                                </w:p>
                                <w:p w:rsidR="006B1F60" w:rsidRPr="00CA5C7A" w:rsidRDefault="006B1F60" w:rsidP="006B1F60">
                                  <w:pPr>
                                    <w:rPr>
                                      <w:rFonts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B43AD" w:rsidRPr="00CA5C7A" w:rsidTr="00070906">
                              <w:tc>
                                <w:tcPr>
                                  <w:tcW w:w="9687" w:type="dxa"/>
                                </w:tcPr>
                                <w:p w:rsidR="006B1F60" w:rsidRPr="00CA5C7A" w:rsidRDefault="006B1F60" w:rsidP="006B1F60">
                                  <w:pPr>
                                    <w:rPr>
                                      <w:rFonts w:cstheme="minorHAnsi"/>
                                      <w:sz w:val="22"/>
                                      <w:highlight w:val="lightGray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F60" w:rsidRPr="00CA5C7A" w:rsidRDefault="006B1F60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</w:p>
                          <w:p w:rsidR="0024788B" w:rsidRPr="00CA5C7A" w:rsidRDefault="0024788B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</w:p>
                          <w:p w:rsidR="006B1F60" w:rsidRPr="00CA5C7A" w:rsidRDefault="006B1F60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I have read the experimental procedure and the hazards assessments and will comply with these procedures.</w:t>
                            </w:r>
                          </w:p>
                          <w:p w:rsidR="0024788B" w:rsidRPr="00CA5C7A" w:rsidRDefault="0024788B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</w:p>
                          <w:p w:rsidR="007666DC" w:rsidRPr="00CA5C7A" w:rsidRDefault="00290564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Student</w:t>
                            </w:r>
                            <w:r w:rsidR="006B1F60"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: ……………………………………………………….</w:t>
                            </w:r>
                            <w:r w:rsidR="006B1F60"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ab/>
                            </w:r>
                            <w:r w:rsidR="006B1F60"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ab/>
                            </w:r>
                            <w:r w:rsidR="006B1F60"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ab/>
                            </w:r>
                          </w:p>
                          <w:p w:rsidR="007666DC" w:rsidRPr="00CA5C7A" w:rsidRDefault="007666DC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</w:p>
                          <w:p w:rsidR="006B1F60" w:rsidRPr="00CA5C7A" w:rsidRDefault="00290564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Date</w:t>
                            </w:r>
                            <w:r w:rsidR="006B1F60"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: ………………………………</w:t>
                            </w:r>
                          </w:p>
                          <w:p w:rsidR="007A12AF" w:rsidRPr="00CA5C7A" w:rsidRDefault="007A12AF" w:rsidP="007A12AF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</w:p>
                          <w:p w:rsidR="007666DC" w:rsidRPr="00CA5C7A" w:rsidRDefault="007666DC" w:rsidP="007A12AF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</w:p>
                          <w:p w:rsidR="007666DC" w:rsidRPr="00CA5C7A" w:rsidRDefault="007666DC" w:rsidP="007A12AF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Declaration as part of COSHH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99CB4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8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" fillcolor="#f2f2f2 [3052]" strokecolor="gray [1629]" strokeweight=".5pt">
                <v:textbox style="mso-fit-shape-to-text:t">
                  <w:txbxContent>
                    <w:p w:rsidR="007A12AF" w:rsidRPr="00CA5C7A" w:rsidRDefault="007A12AF" w:rsidP="007A12AF">
                      <w:pPr>
                        <w:spacing w:before="60" w:after="120"/>
                        <w:rPr>
                          <w:rFonts w:cstheme="minorHAnsi"/>
                          <w:b/>
                          <w:color w:val="595959" w:themeColor="text1" w:themeTint="A6"/>
                          <w:sz w:val="22"/>
                          <w:lang w:val="en-US"/>
                        </w:rPr>
                      </w:pPr>
                      <w:r w:rsidRPr="00CA5C7A">
                        <w:rPr>
                          <w:rFonts w:cstheme="minorHAnsi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>DOCUMENT</w:t>
                      </w:r>
                      <w:r w:rsidR="006B1F60" w:rsidRPr="00CA5C7A">
                        <w:rPr>
                          <w:rFonts w:cstheme="minorHAnsi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>: Safety Information Sheet</w:t>
                      </w:r>
                      <w:r w:rsidRPr="00CA5C7A">
                        <w:rPr>
                          <w:rFonts w:cstheme="minorHAnsi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 xml:space="preserve"> </w:t>
                      </w:r>
                    </w:p>
                    <w:p w:rsidR="006B1F60" w:rsidRPr="00CA5C7A" w:rsidRDefault="006B1F60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  <w:r w:rsidRPr="00CA5C7A">
                        <w:rPr>
                          <w:rFonts w:cstheme="minorHAnsi"/>
                          <w:sz w:val="22"/>
                          <w:lang w:val="en-US"/>
                        </w:rPr>
                        <w:t>This information must be read BEFORE the experiment is attempted.</w:t>
                      </w:r>
                    </w:p>
                    <w:p w:rsidR="006B1F60" w:rsidRPr="00CA5C7A" w:rsidRDefault="006B1F60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  <w:r w:rsidRPr="00CA5C7A">
                        <w:rPr>
                          <w:rFonts w:cstheme="minorHAnsi"/>
                          <w:sz w:val="22"/>
                          <w:lang w:val="en-US"/>
                        </w:rPr>
                        <w:t>You are then required to sign the declaration at the bottom of the sheet and have this countersigned by a demonstrator or member of staff BEFORE commencing the practical.</w:t>
                      </w:r>
                    </w:p>
                    <w:p w:rsidR="00A8407C" w:rsidRPr="00CA5C7A" w:rsidRDefault="006B1F60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  <w:r w:rsidRPr="00CA5C7A">
                        <w:rPr>
                          <w:rFonts w:cstheme="minorHAnsi"/>
                          <w:sz w:val="22"/>
                          <w:lang w:val="en-US"/>
                        </w:rPr>
                        <w:t>DO NOT SIGN this form until you are satisfied that you appreciate the hazards associated with all aspects of this experiment.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87"/>
                      </w:tblGrid>
                      <w:tr w:rsidR="007B43AD" w:rsidRPr="00CA5C7A" w:rsidTr="00070906">
                        <w:tc>
                          <w:tcPr>
                            <w:tcW w:w="9687" w:type="dxa"/>
                          </w:tcPr>
                          <w:p w:rsidR="00A8407C" w:rsidRPr="00CA5C7A" w:rsidRDefault="00A8407C" w:rsidP="006B1F60">
                            <w:pPr>
                              <w:rPr>
                                <w:rFonts w:cstheme="minorHAnsi"/>
                                <w:sz w:val="22"/>
                                <w:highlight w:val="lightGray"/>
                                <w:lang w:val="en-US"/>
                              </w:rPr>
                            </w:pPr>
                          </w:p>
                        </w:tc>
                      </w:tr>
                      <w:tr w:rsidR="00A8407C" w:rsidRPr="00CA5C7A" w:rsidTr="00070906">
                        <w:tc>
                          <w:tcPr>
                            <w:tcW w:w="9687" w:type="dxa"/>
                          </w:tcPr>
                          <w:p w:rsidR="00A8407C" w:rsidRPr="00CA5C7A" w:rsidRDefault="00A8407C" w:rsidP="00A8407C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</w:p>
                          <w:p w:rsidR="00A8407C" w:rsidRPr="00CA5C7A" w:rsidRDefault="00A8407C" w:rsidP="00A8407C">
                            <w:pPr>
                              <w:rPr>
                                <w:rFonts w:cstheme="minorHAnsi"/>
                                <w:b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Potassium manganate (VII) solution (0,002M) is an oxidant, </w:t>
                            </w:r>
                            <w:r w:rsidRPr="00CA5C7A">
                              <w:rPr>
                                <w:rFonts w:cstheme="minorHAnsi"/>
                                <w:b/>
                                <w:sz w:val="22"/>
                                <w:lang w:val="en-US"/>
                              </w:rPr>
                              <w:t>but represents</w:t>
                            </w: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CA5C7A">
                              <w:rPr>
                                <w:rFonts w:cstheme="minorHAnsi"/>
                                <w:b/>
                                <w:sz w:val="22"/>
                                <w:lang w:val="en-US"/>
                              </w:rPr>
                              <w:t>no serious hazard (at this concentration) however, avoid ingestion and skin and eye contact.</w:t>
                            </w:r>
                          </w:p>
                          <w:p w:rsidR="00A8407C" w:rsidRPr="00CA5C7A" w:rsidRDefault="00A8407C" w:rsidP="00A8407C">
                            <w:pPr>
                              <w:rPr>
                                <w:rFonts w:cstheme="minorHAnsi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A8407C" w:rsidRPr="00CA5C7A" w:rsidRDefault="00A8407C" w:rsidP="00A8407C">
                            <w:pPr>
                              <w:rPr>
                                <w:rFonts w:cstheme="minorHAnsi"/>
                                <w:b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    </w:t>
                            </w:r>
                            <w:r w:rsidRPr="00CA5C7A">
                              <w:rPr>
                                <w:rFonts w:cstheme="minorHAnsi"/>
                                <w:sz w:val="22"/>
                              </w:rPr>
                              <w:sym w:font="Wingdings" w:char="F0E0"/>
                            </w: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See the Safety Data Sheet</w:t>
                            </w:r>
                          </w:p>
                          <w:p w:rsidR="00A8407C" w:rsidRPr="00CA5C7A" w:rsidRDefault="00A8407C" w:rsidP="00641436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7B43AD" w:rsidRPr="00CA5C7A" w:rsidTr="00070906">
                        <w:tc>
                          <w:tcPr>
                            <w:tcW w:w="9687" w:type="dxa"/>
                          </w:tcPr>
                          <w:p w:rsidR="00641436" w:rsidRPr="00CA5C7A" w:rsidRDefault="00641436" w:rsidP="00641436">
                            <w:pPr>
                              <w:rPr>
                                <w:rFonts w:cstheme="minorHAnsi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641436" w:rsidRPr="00CA5C7A" w:rsidRDefault="00641436" w:rsidP="00641436">
                            <w:pPr>
                              <w:rPr>
                                <w:rFonts w:cstheme="minorHAnsi"/>
                                <w:b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Sulphuric acid (1.0 M) is corrosive – </w:t>
                            </w:r>
                            <w:r w:rsidRPr="00CA5C7A">
                              <w:rPr>
                                <w:rFonts w:cstheme="minorHAnsi"/>
                                <w:b/>
                                <w:sz w:val="22"/>
                                <w:lang w:val="en-US"/>
                              </w:rPr>
                              <w:t>avoid contact with skin and eyes.</w:t>
                            </w:r>
                          </w:p>
                          <w:p w:rsidR="00DC5252" w:rsidRPr="00CA5C7A" w:rsidRDefault="00DC5252" w:rsidP="00641436">
                            <w:pPr>
                              <w:rPr>
                                <w:rFonts w:cstheme="minorHAnsi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081F27" w:rsidRPr="00CA5C7A" w:rsidRDefault="00081F27" w:rsidP="00641436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    </w:t>
                            </w:r>
                            <w:r w:rsidRPr="00CA5C7A">
                              <w:rPr>
                                <w:rFonts w:cstheme="minorHAnsi"/>
                                <w:sz w:val="22"/>
                              </w:rPr>
                              <w:sym w:font="Wingdings" w:char="F0E0"/>
                            </w: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See the Safety Data Sheet</w:t>
                            </w:r>
                            <w:r w:rsidR="00290564"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of </w:t>
                            </w: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>sulfuric acid 2.5 mol/l</w:t>
                            </w:r>
                          </w:p>
                          <w:p w:rsidR="00081F27" w:rsidRPr="00CA5C7A" w:rsidRDefault="00081F27" w:rsidP="00641436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    </w:t>
                            </w:r>
                            <w:r w:rsidRPr="00CA5C7A">
                              <w:rPr>
                                <w:rFonts w:cstheme="minorHAnsi"/>
                                <w:sz w:val="22"/>
                              </w:rPr>
                              <w:sym w:font="Wingdings" w:char="F0E0"/>
                            </w: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See the Safety Data Sheet</w:t>
                            </w:r>
                            <w:r w:rsidR="00290564"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of</w:t>
                            </w:r>
                            <w:r w:rsidRPr="00CA5C7A"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  <w:t xml:space="preserve"> sulfuric acid 0.5 mol/l</w:t>
                            </w:r>
                          </w:p>
                          <w:p w:rsidR="006B1F60" w:rsidRPr="00CA5C7A" w:rsidRDefault="006B1F60" w:rsidP="006B1F60">
                            <w:pPr>
                              <w:rPr>
                                <w:rFonts w:cstheme="minorHAnsi"/>
                                <w:sz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7B43AD" w:rsidRPr="00CA5C7A" w:rsidTr="00070906">
                        <w:tc>
                          <w:tcPr>
                            <w:tcW w:w="9687" w:type="dxa"/>
                          </w:tcPr>
                          <w:p w:rsidR="006B1F60" w:rsidRPr="00CA5C7A" w:rsidRDefault="006B1F60" w:rsidP="006B1F60">
                            <w:pPr>
                              <w:rPr>
                                <w:rFonts w:cstheme="minorHAnsi"/>
                                <w:sz w:val="22"/>
                                <w:highlight w:val="lightGray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6B1F60" w:rsidRPr="00CA5C7A" w:rsidRDefault="006B1F60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</w:p>
                    <w:p w:rsidR="0024788B" w:rsidRPr="00CA5C7A" w:rsidRDefault="0024788B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</w:p>
                    <w:p w:rsidR="006B1F60" w:rsidRPr="00CA5C7A" w:rsidRDefault="006B1F60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  <w:r w:rsidRPr="00CA5C7A">
                        <w:rPr>
                          <w:rFonts w:cstheme="minorHAnsi"/>
                          <w:sz w:val="22"/>
                          <w:lang w:val="en-US"/>
                        </w:rPr>
                        <w:t>I have read the experimental procedure and the hazards assessments and will comply with these procedures.</w:t>
                      </w:r>
                    </w:p>
                    <w:p w:rsidR="0024788B" w:rsidRPr="00CA5C7A" w:rsidRDefault="0024788B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</w:p>
                    <w:p w:rsidR="007666DC" w:rsidRPr="00CA5C7A" w:rsidRDefault="00290564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  <w:r w:rsidRPr="00CA5C7A">
                        <w:rPr>
                          <w:rFonts w:cstheme="minorHAnsi"/>
                          <w:sz w:val="22"/>
                          <w:lang w:val="en-US"/>
                        </w:rPr>
                        <w:t>Student</w:t>
                      </w:r>
                      <w:r w:rsidR="006B1F60" w:rsidRPr="00CA5C7A">
                        <w:rPr>
                          <w:rFonts w:cstheme="minorHAnsi"/>
                          <w:sz w:val="22"/>
                          <w:lang w:val="en-US"/>
                        </w:rPr>
                        <w:t>: ……………………………………………………….</w:t>
                      </w:r>
                      <w:r w:rsidR="006B1F60" w:rsidRPr="00CA5C7A">
                        <w:rPr>
                          <w:rFonts w:cstheme="minorHAnsi"/>
                          <w:sz w:val="22"/>
                          <w:lang w:val="en-US"/>
                        </w:rPr>
                        <w:tab/>
                      </w:r>
                      <w:r w:rsidR="006B1F60" w:rsidRPr="00CA5C7A">
                        <w:rPr>
                          <w:rFonts w:cstheme="minorHAnsi"/>
                          <w:sz w:val="22"/>
                          <w:lang w:val="en-US"/>
                        </w:rPr>
                        <w:tab/>
                      </w:r>
                      <w:r w:rsidR="006B1F60" w:rsidRPr="00CA5C7A">
                        <w:rPr>
                          <w:rFonts w:cstheme="minorHAnsi"/>
                          <w:sz w:val="22"/>
                          <w:lang w:val="en-US"/>
                        </w:rPr>
                        <w:tab/>
                      </w:r>
                    </w:p>
                    <w:p w:rsidR="007666DC" w:rsidRPr="00CA5C7A" w:rsidRDefault="007666DC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</w:p>
                    <w:p w:rsidR="006B1F60" w:rsidRPr="00CA5C7A" w:rsidRDefault="00290564" w:rsidP="006B1F60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  <w:r w:rsidRPr="00CA5C7A">
                        <w:rPr>
                          <w:rFonts w:cstheme="minorHAnsi"/>
                          <w:sz w:val="22"/>
                          <w:lang w:val="en-US"/>
                        </w:rPr>
                        <w:t>Date</w:t>
                      </w:r>
                      <w:r w:rsidR="006B1F60" w:rsidRPr="00CA5C7A">
                        <w:rPr>
                          <w:rFonts w:cstheme="minorHAnsi"/>
                          <w:sz w:val="22"/>
                          <w:lang w:val="en-US"/>
                        </w:rPr>
                        <w:t>: ………………………………</w:t>
                      </w:r>
                    </w:p>
                    <w:p w:rsidR="007A12AF" w:rsidRPr="00CA5C7A" w:rsidRDefault="007A12AF" w:rsidP="007A12AF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</w:p>
                    <w:p w:rsidR="007666DC" w:rsidRPr="00CA5C7A" w:rsidRDefault="007666DC" w:rsidP="007A12AF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</w:p>
                    <w:p w:rsidR="007666DC" w:rsidRPr="00CA5C7A" w:rsidRDefault="007666DC" w:rsidP="007A12AF">
                      <w:pPr>
                        <w:rPr>
                          <w:rFonts w:cstheme="minorHAnsi"/>
                          <w:sz w:val="22"/>
                          <w:lang w:val="en-US"/>
                        </w:rPr>
                      </w:pPr>
                      <w:r w:rsidRPr="00CA5C7A">
                        <w:rPr>
                          <w:rFonts w:cstheme="minorHAnsi"/>
                          <w:sz w:val="22"/>
                          <w:lang w:val="en-US"/>
                        </w:rPr>
                        <w:t>Declaration as part of COSHH regulations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4D00" w:rsidRDefault="00E34D00">
      <w:pPr>
        <w:spacing w:after="200"/>
        <w:jc w:val="left"/>
        <w:rPr>
          <w:rFonts w:eastAsiaTheme="majorEastAsia" w:cstheme="majorBidi"/>
          <w:b/>
          <w:color w:val="17365D" w:themeColor="text2" w:themeShade="BF"/>
          <w:spacing w:val="5"/>
          <w:kern w:val="28"/>
          <w:sz w:val="48"/>
          <w:szCs w:val="52"/>
        </w:rPr>
      </w:pPr>
      <w:r>
        <w:br w:type="page"/>
      </w:r>
    </w:p>
    <w:p w:rsidR="006F6F9B" w:rsidRPr="00AA6BDB" w:rsidRDefault="006F6F9B" w:rsidP="006F6F9B">
      <w:pPr>
        <w:pStyle w:val="Titre"/>
        <w:rPr>
          <w:lang w:val="en-US"/>
        </w:rPr>
      </w:pPr>
      <w:r w:rsidRPr="00AA6BDB">
        <w:rPr>
          <w:lang w:val="en-US"/>
        </w:rPr>
        <w:lastRenderedPageBreak/>
        <w:t>Activity summary</w:t>
      </w:r>
    </w:p>
    <w:p w:rsidR="006F6F9B" w:rsidRPr="003B5E56" w:rsidRDefault="006F6F9B" w:rsidP="006F6F9B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>What you must remember:</w:t>
      </w:r>
    </w:p>
    <w:p w:rsidR="006F6F9B" w:rsidRDefault="00CE4B53" w:rsidP="006F6F9B">
      <w:pPr>
        <w:pStyle w:val="Paragraphedeliste"/>
        <w:numPr>
          <w:ilvl w:val="0"/>
          <w:numId w:val="34"/>
        </w:numPr>
        <w:rPr>
          <w:rFonts w:eastAsia="MS Gothic" w:cstheme="minorHAnsi"/>
          <w:sz w:val="22"/>
          <w:lang w:val="en-US"/>
        </w:rPr>
      </w:pPr>
      <w:r>
        <w:rPr>
          <w:rFonts w:eastAsia="MS Gothic" w:cstheme="minorHAnsi"/>
          <w:sz w:val="22"/>
          <w:lang w:val="en-US"/>
        </w:rPr>
        <w:t>e</w:t>
      </w:r>
      <w:r w:rsidR="006F6F9B" w:rsidRPr="005A0FEE">
        <w:rPr>
          <w:rFonts w:eastAsia="MS Gothic" w:cstheme="minorHAnsi"/>
          <w:sz w:val="22"/>
          <w:lang w:val="en-US"/>
        </w:rPr>
        <w:t>ndpoint</w:t>
      </w:r>
    </w:p>
    <w:p w:rsidR="006F6F9B" w:rsidRPr="005A0FEE" w:rsidRDefault="00CE4B53" w:rsidP="006F6F9B">
      <w:pPr>
        <w:pStyle w:val="Paragraphedeliste"/>
        <w:numPr>
          <w:ilvl w:val="0"/>
          <w:numId w:val="34"/>
        </w:numPr>
        <w:rPr>
          <w:rFonts w:eastAsia="MS Gothic"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t</w:t>
      </w:r>
      <w:r w:rsidR="006F6F9B" w:rsidRPr="005A0FEE">
        <w:rPr>
          <w:rFonts w:cstheme="minorHAnsi"/>
          <w:sz w:val="22"/>
          <w:lang w:val="en-US"/>
        </w:rPr>
        <w:t>itration</w:t>
      </w:r>
    </w:p>
    <w:p w:rsidR="006F6F9B" w:rsidRPr="003B405B" w:rsidRDefault="00290564" w:rsidP="006F6F9B">
      <w:pPr>
        <w:pStyle w:val="Paragraphedeliste"/>
        <w:numPr>
          <w:ilvl w:val="0"/>
          <w:numId w:val="34"/>
        </w:numPr>
        <w:rPr>
          <w:rFonts w:eastAsia="MS Gothic"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oxi</w:t>
      </w:r>
      <w:r w:rsidR="006F6F9B" w:rsidRPr="005A0FEE">
        <w:rPr>
          <w:rFonts w:cstheme="minorHAnsi"/>
          <w:sz w:val="22"/>
          <w:lang w:val="en-US"/>
        </w:rPr>
        <w:t>dation, reduction reaction</w:t>
      </w:r>
    </w:p>
    <w:p w:rsidR="006F6F9B" w:rsidRPr="005A0FEE" w:rsidRDefault="006F6F9B" w:rsidP="006F6F9B">
      <w:pPr>
        <w:pStyle w:val="Paragraphedeliste"/>
        <w:numPr>
          <w:ilvl w:val="0"/>
          <w:numId w:val="34"/>
        </w:numPr>
        <w:rPr>
          <w:rFonts w:eastAsia="MS Gothic"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accuracy</w:t>
      </w:r>
    </w:p>
    <w:p w:rsidR="006F6F9B" w:rsidRPr="009166C3" w:rsidRDefault="006F6F9B" w:rsidP="006F6F9B">
      <w:pPr>
        <w:rPr>
          <w:rFonts w:cs="Lucida Sans Unicode"/>
          <w:sz w:val="22"/>
          <w:lang w:val="en-US"/>
        </w:rPr>
      </w:pPr>
    </w:p>
    <w:p w:rsidR="006F6F9B" w:rsidRPr="00EF0F81" w:rsidRDefault="006F6F9B" w:rsidP="006F6F9B">
      <w:pPr>
        <w:jc w:val="left"/>
        <w:rPr>
          <w:rFonts w:cs="Lucida Sans Unicode"/>
          <w:sz w:val="22"/>
          <w:lang w:val="en-US"/>
        </w:rPr>
      </w:pPr>
    </w:p>
    <w:p w:rsidR="006F6F9B" w:rsidRPr="00093EA3" w:rsidRDefault="006F6F9B" w:rsidP="006F6F9B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Pr="005D5211">
        <w:rPr>
          <w:rFonts w:cs="Lucida Sans Unicode"/>
          <w:b/>
          <w:sz w:val="22"/>
          <w:lang w:val="en-US"/>
        </w:rPr>
        <w:t>:</w:t>
      </w:r>
    </w:p>
    <w:p w:rsidR="006F6F9B" w:rsidRPr="00093EA3" w:rsidRDefault="006F6F9B" w:rsidP="006F6F9B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7592"/>
      </w:tblGrid>
      <w:tr w:rsidR="006F6F9B" w:rsidRPr="00DB11AA" w:rsidTr="007E7579">
        <w:tc>
          <w:tcPr>
            <w:tcW w:w="119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6F6F9B" w:rsidRPr="00DB11AA" w:rsidRDefault="006F6F9B" w:rsidP="004A3CAE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38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6F6F9B" w:rsidRPr="00DB11AA" w:rsidRDefault="006F6F9B" w:rsidP="004A3CAE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6F6F9B" w:rsidRPr="008C6C13" w:rsidTr="007E7579">
        <w:trPr>
          <w:trHeight w:val="397"/>
        </w:trPr>
        <w:tc>
          <w:tcPr>
            <w:tcW w:w="1192" w:type="pct"/>
            <w:vAlign w:val="center"/>
          </w:tcPr>
          <w:p w:rsidR="006F6F9B" w:rsidRPr="008C6C13" w:rsidRDefault="006F6F9B" w:rsidP="004A3C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>APP</w:t>
            </w:r>
          </w:p>
        </w:tc>
        <w:tc>
          <w:tcPr>
            <w:tcW w:w="3808" w:type="pct"/>
            <w:vAlign w:val="center"/>
          </w:tcPr>
          <w:p w:rsidR="006F6F9B" w:rsidRDefault="006F6F9B" w:rsidP="004A3CAE">
            <w:r w:rsidRPr="008C6C13">
              <w:t>S’a</w:t>
            </w:r>
            <w:r>
              <w:t>pproprier</w:t>
            </w:r>
            <w:r w:rsidRPr="008C6C13">
              <w:t xml:space="preserve"> un mode opératoire </w:t>
            </w:r>
          </w:p>
          <w:p w:rsidR="006F6F9B" w:rsidRPr="008C6C13" w:rsidRDefault="006F6F9B" w:rsidP="004A3CAE">
            <w:r w:rsidRPr="008C6C13">
              <w:t>S’approprier l’ensemble des informations liées à la sécurité</w:t>
            </w:r>
          </w:p>
        </w:tc>
      </w:tr>
      <w:tr w:rsidR="006F6F9B" w:rsidRPr="008C6C13" w:rsidTr="007E7579">
        <w:trPr>
          <w:trHeight w:val="397"/>
        </w:trPr>
        <w:tc>
          <w:tcPr>
            <w:tcW w:w="1192" w:type="pct"/>
            <w:vAlign w:val="center"/>
          </w:tcPr>
          <w:p w:rsidR="006F6F9B" w:rsidRPr="008C6C13" w:rsidRDefault="006F6F9B" w:rsidP="004A3C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>ANA</w:t>
            </w:r>
          </w:p>
        </w:tc>
        <w:tc>
          <w:tcPr>
            <w:tcW w:w="3808" w:type="pct"/>
            <w:vAlign w:val="center"/>
          </w:tcPr>
          <w:p w:rsidR="006F6F9B" w:rsidRDefault="006F6F9B" w:rsidP="004A3CAE"/>
          <w:p w:rsidR="006F6F9B" w:rsidRDefault="006F6F9B" w:rsidP="004A3CAE">
            <w:r>
              <w:t>Suivre un protocole de titrage direct d’espèces colorées avec réactions support de titrage d’oxydation-réduction</w:t>
            </w:r>
          </w:p>
          <w:p w:rsidR="006F6F9B" w:rsidRPr="008C6C13" w:rsidRDefault="006F6F9B" w:rsidP="004A3CAE">
            <w:pPr>
              <w:rPr>
                <w:rFonts w:cs="Helvetica"/>
                <w:color w:val="000000"/>
                <w:sz w:val="22"/>
              </w:rPr>
            </w:pPr>
          </w:p>
        </w:tc>
      </w:tr>
      <w:tr w:rsidR="006F6F9B" w:rsidRPr="008C6C13" w:rsidTr="007E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92" w:type="pct"/>
            <w:vAlign w:val="center"/>
          </w:tcPr>
          <w:p w:rsidR="006F6F9B" w:rsidRPr="008C6C13" w:rsidRDefault="006F6F9B" w:rsidP="004A3C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>REA</w:t>
            </w:r>
          </w:p>
        </w:tc>
        <w:tc>
          <w:tcPr>
            <w:tcW w:w="3808" w:type="pct"/>
          </w:tcPr>
          <w:p w:rsidR="007E7579" w:rsidRDefault="007E7579" w:rsidP="004A3CAE"/>
          <w:p w:rsidR="006F6F9B" w:rsidRDefault="006F6F9B" w:rsidP="004A3CAE">
            <w:r w:rsidRPr="00F802A0">
              <w:t>Réaliser un proto</w:t>
            </w:r>
            <w:r>
              <w:t>cole de titrage direct d’espèces colorées avec réactions support de titrage d’oxydation-réduction</w:t>
            </w:r>
          </w:p>
          <w:p w:rsidR="006F6F9B" w:rsidRDefault="006F6F9B" w:rsidP="004A3CAE">
            <w:r>
              <w:t>Définir l’équivalence d’un titrage avec réactions support de titrage d’oxydation-réduction</w:t>
            </w:r>
          </w:p>
          <w:p w:rsidR="006F6F9B" w:rsidRPr="00F802A0" w:rsidRDefault="006F6F9B" w:rsidP="004A3CAE">
            <w:r>
              <w:t>Déterminer la concentration d’une solution inconnue à partir des conditions expérimentales d’un titrage</w:t>
            </w:r>
          </w:p>
          <w:p w:rsidR="006F6F9B" w:rsidRDefault="006F6F9B" w:rsidP="004A3CAE">
            <w:r w:rsidRPr="00F802A0">
              <w:t>Calculer et exprimer un résultat</w:t>
            </w:r>
            <w:r>
              <w:t xml:space="preserve"> en tenant compte de l’incertitude de mesure, associée à un niveau de confiance, donnée</w:t>
            </w:r>
          </w:p>
          <w:p w:rsidR="007E7579" w:rsidRPr="008C6C13" w:rsidRDefault="007E7579" w:rsidP="004A3CAE">
            <w:pPr>
              <w:rPr>
                <w:rFonts w:cs="Helvetica"/>
                <w:color w:val="000000"/>
                <w:sz w:val="22"/>
              </w:rPr>
            </w:pPr>
          </w:p>
        </w:tc>
      </w:tr>
      <w:tr w:rsidR="006F6F9B" w:rsidRPr="008C6C13" w:rsidTr="007E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92" w:type="pct"/>
            <w:vAlign w:val="center"/>
          </w:tcPr>
          <w:p w:rsidR="006F6F9B" w:rsidRPr="008C6C13" w:rsidRDefault="006F6F9B" w:rsidP="004A3CA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 xml:space="preserve">COM </w:t>
            </w:r>
          </w:p>
        </w:tc>
        <w:tc>
          <w:tcPr>
            <w:tcW w:w="3808" w:type="pct"/>
          </w:tcPr>
          <w:p w:rsidR="007E7579" w:rsidRDefault="007E7579" w:rsidP="004A3CAE"/>
          <w:p w:rsidR="006F6F9B" w:rsidRPr="00F802A0" w:rsidRDefault="006F6F9B" w:rsidP="004A3CAE">
            <w:r>
              <w:t xml:space="preserve">Commenter le résultat de mesure obtenu en le comparant à une valeur de référence </w:t>
            </w:r>
            <w:r w:rsidRPr="00F802A0">
              <w:t xml:space="preserve">Formuler et argumenter des réponses structurées </w:t>
            </w:r>
          </w:p>
          <w:p w:rsidR="006F6F9B" w:rsidRDefault="006F6F9B" w:rsidP="004A3CAE">
            <w:r w:rsidRPr="00F802A0">
              <w:t xml:space="preserve">Formuler et présenter une conclusion </w:t>
            </w:r>
          </w:p>
          <w:p w:rsidR="006F6F9B" w:rsidRPr="00F802A0" w:rsidRDefault="006F6F9B" w:rsidP="004A3CAE">
            <w:r>
              <w:t>Citer en anglais les formules chimiques de quelques espèces usuelles (acide sulfurique, ion permanganate)</w:t>
            </w:r>
          </w:p>
          <w:p w:rsidR="006F6F9B" w:rsidRDefault="006F6F9B" w:rsidP="004A3CAE">
            <w:pPr>
              <w:rPr>
                <w:rFonts w:cs="Helvetica"/>
                <w:color w:val="000000"/>
                <w:sz w:val="22"/>
              </w:rPr>
            </w:pPr>
            <w:r w:rsidRPr="00F802A0">
              <w:t xml:space="preserve">Utiliser des notions d’anglais </w:t>
            </w:r>
            <w:r w:rsidR="00845578">
              <w:t>scientifique</w:t>
            </w:r>
            <w:r w:rsidRPr="00F802A0">
              <w:t xml:space="preserve"> à l’écrit et à l’oral</w:t>
            </w:r>
            <w:r w:rsidRPr="008C6C13">
              <w:rPr>
                <w:rFonts w:cs="Helvetica"/>
                <w:color w:val="000000"/>
                <w:sz w:val="22"/>
              </w:rPr>
              <w:t xml:space="preserve">  </w:t>
            </w:r>
          </w:p>
          <w:p w:rsidR="007E7579" w:rsidRPr="008C6C13" w:rsidRDefault="007E7579" w:rsidP="004A3CAE">
            <w:pPr>
              <w:rPr>
                <w:rFonts w:cs="Helvetica"/>
                <w:color w:val="000000"/>
                <w:sz w:val="22"/>
              </w:rPr>
            </w:pPr>
          </w:p>
        </w:tc>
      </w:tr>
    </w:tbl>
    <w:p w:rsidR="0097081F" w:rsidRPr="006F6F9B" w:rsidRDefault="0097081F">
      <w:pPr>
        <w:spacing w:after="200"/>
        <w:jc w:val="left"/>
        <w:rPr>
          <w:rFonts w:eastAsiaTheme="majorEastAsia" w:cstheme="majorBidi"/>
          <w:b/>
          <w:color w:val="17365D" w:themeColor="text2" w:themeShade="BF"/>
          <w:spacing w:val="5"/>
          <w:kern w:val="28"/>
          <w:sz w:val="48"/>
          <w:szCs w:val="52"/>
        </w:rPr>
      </w:pPr>
    </w:p>
    <w:sectPr w:rsidR="0097081F" w:rsidRPr="006F6F9B" w:rsidSect="00782487">
      <w:headerReference w:type="default" r:id="rId17"/>
      <w:footerReference w:type="default" r:id="rId18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60" w:rsidRDefault="00455E60" w:rsidP="00B84075">
      <w:pPr>
        <w:spacing w:line="240" w:lineRule="auto"/>
      </w:pPr>
      <w:r>
        <w:separator/>
      </w:r>
    </w:p>
    <w:p w:rsidR="00455E60" w:rsidRDefault="00455E60"/>
  </w:endnote>
  <w:endnote w:type="continuationSeparator" w:id="0">
    <w:p w:rsidR="00455E60" w:rsidRDefault="00455E60" w:rsidP="00B84075">
      <w:pPr>
        <w:spacing w:line="240" w:lineRule="auto"/>
      </w:pPr>
      <w:r>
        <w:continuationSeparator/>
      </w:r>
    </w:p>
    <w:p w:rsidR="00455E60" w:rsidRDefault="00455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C3" w:rsidRPr="00F92BDF" w:rsidRDefault="00581342" w:rsidP="00F92BDF">
    <w:pPr>
      <w:pStyle w:val="Pieddepage"/>
      <w:jc w:val="right"/>
      <w:rPr>
        <w:color w:val="7F7F7F" w:themeColor="text1" w:themeTint="80"/>
      </w:rPr>
    </w:pPr>
    <w:r w:rsidRPr="00F92BDF">
      <w:rPr>
        <w:color w:val="7F7F7F" w:themeColor="text1" w:themeTint="80"/>
      </w:rPr>
      <w:t xml:space="preserve">page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E670CB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60" w:rsidRDefault="00455E60" w:rsidP="00B84075">
      <w:pPr>
        <w:spacing w:line="240" w:lineRule="auto"/>
      </w:pPr>
      <w:r>
        <w:separator/>
      </w:r>
    </w:p>
    <w:p w:rsidR="00455E60" w:rsidRDefault="00455E60"/>
  </w:footnote>
  <w:footnote w:type="continuationSeparator" w:id="0">
    <w:p w:rsidR="00455E60" w:rsidRDefault="00455E60" w:rsidP="00B84075">
      <w:pPr>
        <w:spacing w:line="240" w:lineRule="auto"/>
      </w:pPr>
      <w:r>
        <w:continuationSeparator/>
      </w:r>
    </w:p>
    <w:p w:rsidR="00455E60" w:rsidRDefault="00455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C3" w:rsidRPr="00B20C02" w:rsidRDefault="00B20C02" w:rsidP="00F92BDF">
    <w:pPr>
      <w:pStyle w:val="En-tte"/>
      <w:rPr>
        <w:lang w:val="en-US"/>
      </w:rPr>
    </w:pPr>
    <w:r w:rsidRPr="00B20C02">
      <w:rPr>
        <w:lang w:val="en-US"/>
      </w:rPr>
      <w:t>1ère</w:t>
    </w:r>
    <w:r w:rsidR="0084529E" w:rsidRPr="00B20C02">
      <w:rPr>
        <w:lang w:val="en-US"/>
      </w:rPr>
      <w:t xml:space="preserve"> STL</w:t>
    </w:r>
    <w:r w:rsidR="0084529E" w:rsidRPr="00B20C02">
      <w:rPr>
        <w:lang w:val="en-US"/>
      </w:rPr>
      <w:tab/>
    </w:r>
    <w:r w:rsidR="00B84075" w:rsidRPr="00B20C02">
      <w:rPr>
        <w:lang w:val="en-US"/>
      </w:rPr>
      <w:tab/>
    </w:r>
    <w:r w:rsidRPr="00B20C02">
      <w:rPr>
        <w:lang w:val="en-US"/>
      </w:rPr>
      <w:t xml:space="preserve">Activity 3 – </w:t>
    </w:r>
    <w:r w:rsidR="004A19B0">
      <w:rPr>
        <w:lang w:val="en-US"/>
      </w:rPr>
      <w:t>CH10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F2F79"/>
    <w:multiLevelType w:val="hybridMultilevel"/>
    <w:tmpl w:val="45540FC0"/>
    <w:lvl w:ilvl="0" w:tplc="952EA84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C9E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B87FB6"/>
    <w:multiLevelType w:val="multilevel"/>
    <w:tmpl w:val="91804B7E"/>
    <w:lvl w:ilvl="0">
      <w:start w:val="3"/>
      <w:numFmt w:val="decimal"/>
      <w:lvlText w:val="ACTIVITY 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A762B"/>
    <w:multiLevelType w:val="hybridMultilevel"/>
    <w:tmpl w:val="57DCE72A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B5B9F"/>
    <w:multiLevelType w:val="hybridMultilevel"/>
    <w:tmpl w:val="37CCFB6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73A75"/>
    <w:multiLevelType w:val="hybridMultilevel"/>
    <w:tmpl w:val="D1A2EDA8"/>
    <w:lvl w:ilvl="0" w:tplc="80441F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D1427"/>
    <w:multiLevelType w:val="hybridMultilevel"/>
    <w:tmpl w:val="A8CA0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B4EA6"/>
    <w:multiLevelType w:val="hybridMultilevel"/>
    <w:tmpl w:val="88106264"/>
    <w:lvl w:ilvl="0" w:tplc="A36044D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21"/>
  </w:num>
  <w:num w:numId="11">
    <w:abstractNumId w:val="14"/>
  </w:num>
  <w:num w:numId="12">
    <w:abstractNumId w:val="15"/>
  </w:num>
  <w:num w:numId="13">
    <w:abstractNumId w:val="18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8"/>
  </w:num>
  <w:num w:numId="17">
    <w:abstractNumId w:val="6"/>
  </w:num>
  <w:num w:numId="18">
    <w:abstractNumId w:val="15"/>
  </w:num>
  <w:num w:numId="19">
    <w:abstractNumId w:val="15"/>
  </w:num>
  <w:num w:numId="20">
    <w:abstractNumId w:val="17"/>
  </w:num>
  <w:num w:numId="21">
    <w:abstractNumId w:val="15"/>
  </w:num>
  <w:num w:numId="22">
    <w:abstractNumId w:val="4"/>
  </w:num>
  <w:num w:numId="23">
    <w:abstractNumId w:val="20"/>
  </w:num>
  <w:num w:numId="24">
    <w:abstractNumId w:val="10"/>
  </w:num>
  <w:num w:numId="25">
    <w:abstractNumId w:val="16"/>
  </w:num>
  <w:num w:numId="26">
    <w:abstractNumId w:val="29"/>
  </w:num>
  <w:num w:numId="27">
    <w:abstractNumId w:val="27"/>
  </w:num>
  <w:num w:numId="28">
    <w:abstractNumId w:val="23"/>
  </w:num>
  <w:num w:numId="29">
    <w:abstractNumId w:val="25"/>
  </w:num>
  <w:num w:numId="30">
    <w:abstractNumId w:val="2"/>
  </w:num>
  <w:num w:numId="31">
    <w:abstractNumId w:val="19"/>
  </w:num>
  <w:num w:numId="32">
    <w:abstractNumId w:val="5"/>
  </w:num>
  <w:num w:numId="33">
    <w:abstractNumId w:val="3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CB"/>
    <w:rsid w:val="00000891"/>
    <w:rsid w:val="00000933"/>
    <w:rsid w:val="00000B57"/>
    <w:rsid w:val="00000F39"/>
    <w:rsid w:val="000019ED"/>
    <w:rsid w:val="00003329"/>
    <w:rsid w:val="00003915"/>
    <w:rsid w:val="000042E0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0C9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56C2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0906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1F27"/>
    <w:rsid w:val="00083C89"/>
    <w:rsid w:val="000863E1"/>
    <w:rsid w:val="000870C1"/>
    <w:rsid w:val="0009038E"/>
    <w:rsid w:val="00091F80"/>
    <w:rsid w:val="00092DC4"/>
    <w:rsid w:val="00093708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0C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351E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4B2A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67B"/>
    <w:rsid w:val="00161B35"/>
    <w:rsid w:val="0016209F"/>
    <w:rsid w:val="001623C2"/>
    <w:rsid w:val="00163F39"/>
    <w:rsid w:val="001645A8"/>
    <w:rsid w:val="00164891"/>
    <w:rsid w:val="00164B10"/>
    <w:rsid w:val="0016709D"/>
    <w:rsid w:val="001679DF"/>
    <w:rsid w:val="00170274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2C7E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79A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97983"/>
    <w:rsid w:val="001A2D10"/>
    <w:rsid w:val="001A3C92"/>
    <w:rsid w:val="001A40EB"/>
    <w:rsid w:val="001A489F"/>
    <w:rsid w:val="001A5CE8"/>
    <w:rsid w:val="001A5E85"/>
    <w:rsid w:val="001A7371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24F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0CD9"/>
    <w:rsid w:val="001E11CF"/>
    <w:rsid w:val="001E1E9D"/>
    <w:rsid w:val="001E277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858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88B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55D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564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7EE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4B5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0AE9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34A"/>
    <w:rsid w:val="003F179E"/>
    <w:rsid w:val="003F1B6C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5E6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651B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19B0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009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AAD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1E92"/>
    <w:rsid w:val="004F282E"/>
    <w:rsid w:val="004F308E"/>
    <w:rsid w:val="004F3200"/>
    <w:rsid w:val="004F3437"/>
    <w:rsid w:val="004F3CAE"/>
    <w:rsid w:val="004F40BB"/>
    <w:rsid w:val="004F42A2"/>
    <w:rsid w:val="004F69DA"/>
    <w:rsid w:val="004F75C4"/>
    <w:rsid w:val="004F7688"/>
    <w:rsid w:val="004F7ACF"/>
    <w:rsid w:val="004F7F71"/>
    <w:rsid w:val="004F7FF4"/>
    <w:rsid w:val="00500204"/>
    <w:rsid w:val="005008F0"/>
    <w:rsid w:val="00500CAD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C5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E7F2C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62B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436"/>
    <w:rsid w:val="00641D29"/>
    <w:rsid w:val="006424B8"/>
    <w:rsid w:val="00643DC5"/>
    <w:rsid w:val="00644183"/>
    <w:rsid w:val="006446B2"/>
    <w:rsid w:val="00644A94"/>
    <w:rsid w:val="006455BA"/>
    <w:rsid w:val="006457F0"/>
    <w:rsid w:val="00645E32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D89"/>
    <w:rsid w:val="00671EEE"/>
    <w:rsid w:val="00672663"/>
    <w:rsid w:val="00673354"/>
    <w:rsid w:val="006742AE"/>
    <w:rsid w:val="00674779"/>
    <w:rsid w:val="00674936"/>
    <w:rsid w:val="00675966"/>
    <w:rsid w:val="006808F2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1F60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DD8"/>
    <w:rsid w:val="006F6587"/>
    <w:rsid w:val="006F6CF1"/>
    <w:rsid w:val="006F6EE5"/>
    <w:rsid w:val="006F6F9B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440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6DC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337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3AD"/>
    <w:rsid w:val="007B498B"/>
    <w:rsid w:val="007B531A"/>
    <w:rsid w:val="007B583F"/>
    <w:rsid w:val="007B6902"/>
    <w:rsid w:val="007B6F76"/>
    <w:rsid w:val="007B7442"/>
    <w:rsid w:val="007C02DF"/>
    <w:rsid w:val="007C1A32"/>
    <w:rsid w:val="007C20F5"/>
    <w:rsid w:val="007C356C"/>
    <w:rsid w:val="007C36B6"/>
    <w:rsid w:val="007C5F8D"/>
    <w:rsid w:val="007C64B4"/>
    <w:rsid w:val="007C70F1"/>
    <w:rsid w:val="007C7279"/>
    <w:rsid w:val="007C7289"/>
    <w:rsid w:val="007C7385"/>
    <w:rsid w:val="007C7FF9"/>
    <w:rsid w:val="007D0F8A"/>
    <w:rsid w:val="007D1892"/>
    <w:rsid w:val="007D22C9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79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033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5BC5"/>
    <w:rsid w:val="0083657F"/>
    <w:rsid w:val="008365E0"/>
    <w:rsid w:val="00836942"/>
    <w:rsid w:val="00840700"/>
    <w:rsid w:val="008409B8"/>
    <w:rsid w:val="0084422C"/>
    <w:rsid w:val="0084529E"/>
    <w:rsid w:val="00845496"/>
    <w:rsid w:val="00845578"/>
    <w:rsid w:val="00846586"/>
    <w:rsid w:val="0084679B"/>
    <w:rsid w:val="00846D32"/>
    <w:rsid w:val="00846F6B"/>
    <w:rsid w:val="0084766A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6C13"/>
    <w:rsid w:val="008C740D"/>
    <w:rsid w:val="008C7A94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2F1"/>
    <w:rsid w:val="00903778"/>
    <w:rsid w:val="009045F5"/>
    <w:rsid w:val="0090462D"/>
    <w:rsid w:val="009048B5"/>
    <w:rsid w:val="00904AC8"/>
    <w:rsid w:val="00905BFC"/>
    <w:rsid w:val="00906EA3"/>
    <w:rsid w:val="00910786"/>
    <w:rsid w:val="00911E07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81F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859"/>
    <w:rsid w:val="00983DBC"/>
    <w:rsid w:val="00983F9F"/>
    <w:rsid w:val="009845AC"/>
    <w:rsid w:val="00984A81"/>
    <w:rsid w:val="0098599E"/>
    <w:rsid w:val="0098660A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17FD"/>
    <w:rsid w:val="009D2337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0B0"/>
    <w:rsid w:val="00A20187"/>
    <w:rsid w:val="00A2088A"/>
    <w:rsid w:val="00A20C04"/>
    <w:rsid w:val="00A20C43"/>
    <w:rsid w:val="00A21344"/>
    <w:rsid w:val="00A21D6D"/>
    <w:rsid w:val="00A2248F"/>
    <w:rsid w:val="00A22D01"/>
    <w:rsid w:val="00A235A2"/>
    <w:rsid w:val="00A239ED"/>
    <w:rsid w:val="00A2455F"/>
    <w:rsid w:val="00A24A7A"/>
    <w:rsid w:val="00A24B3D"/>
    <w:rsid w:val="00A24D4F"/>
    <w:rsid w:val="00A24EC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07C"/>
    <w:rsid w:val="00A8444E"/>
    <w:rsid w:val="00A84A72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5D62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6AB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390"/>
    <w:rsid w:val="00B177D1"/>
    <w:rsid w:val="00B17B9B"/>
    <w:rsid w:val="00B20145"/>
    <w:rsid w:val="00B20C02"/>
    <w:rsid w:val="00B20EF1"/>
    <w:rsid w:val="00B212BC"/>
    <w:rsid w:val="00B2142B"/>
    <w:rsid w:val="00B21522"/>
    <w:rsid w:val="00B218C8"/>
    <w:rsid w:val="00B22797"/>
    <w:rsid w:val="00B23A1B"/>
    <w:rsid w:val="00B23E36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46A1"/>
    <w:rsid w:val="00B34AC9"/>
    <w:rsid w:val="00B34D7A"/>
    <w:rsid w:val="00B350D4"/>
    <w:rsid w:val="00B35147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544F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147D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5C7A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BAE"/>
    <w:rsid w:val="00CE1C40"/>
    <w:rsid w:val="00CE2B57"/>
    <w:rsid w:val="00CE345E"/>
    <w:rsid w:val="00CE3862"/>
    <w:rsid w:val="00CE46D4"/>
    <w:rsid w:val="00CE489E"/>
    <w:rsid w:val="00CE4B53"/>
    <w:rsid w:val="00CE4CBC"/>
    <w:rsid w:val="00CE4EB3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41E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40B8"/>
    <w:rsid w:val="00D157A4"/>
    <w:rsid w:val="00D15FAB"/>
    <w:rsid w:val="00D1666D"/>
    <w:rsid w:val="00D16855"/>
    <w:rsid w:val="00D17DAD"/>
    <w:rsid w:val="00D20200"/>
    <w:rsid w:val="00D21056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7E8"/>
    <w:rsid w:val="00D3795B"/>
    <w:rsid w:val="00D4253C"/>
    <w:rsid w:val="00D43D18"/>
    <w:rsid w:val="00D454AC"/>
    <w:rsid w:val="00D4582D"/>
    <w:rsid w:val="00D505B5"/>
    <w:rsid w:val="00D50B47"/>
    <w:rsid w:val="00D50EA6"/>
    <w:rsid w:val="00D51F35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4432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2F29"/>
    <w:rsid w:val="00D83F08"/>
    <w:rsid w:val="00D8458F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5CFC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252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169F8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400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0C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6F8C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2D6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5F1B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1EA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36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36219"/>
  <w15:docId w15:val="{6C5735C5-3444-3C4A-BE0E-FA76E7C9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10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F92BDF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92BDF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673354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F92BDF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F92BDF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92BDF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F92BDF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2BD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F92BDF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F92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2BDF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F92BD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92B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BD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B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92B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4A0710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F92BDF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4A0710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F92BDF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673354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F92BD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F92BD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F92BDF"/>
    <w:rPr>
      <w:sz w:val="20"/>
    </w:rPr>
  </w:style>
  <w:style w:type="character" w:customStyle="1" w:styleId="lgendeCar">
    <w:name w:val="légende Car"/>
    <w:basedOn w:val="SansinterligneCar"/>
    <w:link w:val="lgende"/>
    <w:rsid w:val="00F92BDF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6E2A38"/>
    <w:p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501619"/>
    <w:pPr>
      <w:numPr>
        <w:numId w:val="14"/>
      </w:numPr>
    </w:pPr>
  </w:style>
  <w:style w:type="character" w:customStyle="1" w:styleId="TitreActivitCar">
    <w:name w:val="TitreActivité Car"/>
    <w:basedOn w:val="Titre1Car"/>
    <w:link w:val="TitreActivit"/>
    <w:rsid w:val="006E2A38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6B29C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01619"/>
    <w:rPr>
      <w:sz w:val="20"/>
    </w:rPr>
  </w:style>
  <w:style w:type="character" w:customStyle="1" w:styleId="QuestionCar">
    <w:name w:val="Question Car"/>
    <w:basedOn w:val="ParagraphedelisteCar"/>
    <w:link w:val="Question"/>
    <w:rsid w:val="00501619"/>
    <w:rPr>
      <w:sz w:val="20"/>
    </w:rPr>
  </w:style>
  <w:style w:type="paragraph" w:customStyle="1" w:styleId="corrig">
    <w:name w:val="corrigé"/>
    <w:basedOn w:val="Question"/>
    <w:link w:val="corrigCar"/>
    <w:rsid w:val="004129BD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4129BD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F92BDF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600532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600532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3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6B29C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4A0710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4A0710"/>
    <w:rPr>
      <w:sz w:val="20"/>
    </w:rPr>
  </w:style>
  <w:style w:type="character" w:styleId="Lienhypertexte">
    <w:name w:val="Hyperlink"/>
    <w:basedOn w:val="Policepardfaut"/>
    <w:uiPriority w:val="99"/>
    <w:unhideWhenUsed/>
    <w:rsid w:val="00B01C00"/>
    <w:rPr>
      <w:color w:val="31849B" w:themeColor="accent5" w:themeShade="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ecilekressmann:Downloads:ModeleActivi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Macintosh%20HD:Users:cecilekressmann:Downloads:ModeleActivites.dotx</Template>
  <TotalTime>39</TotalTime>
  <Pages>4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Kressmann</dc:creator>
  <cp:lastModifiedBy>Cecile Canu</cp:lastModifiedBy>
  <cp:revision>26</cp:revision>
  <dcterms:created xsi:type="dcterms:W3CDTF">2018-04-29T16:04:00Z</dcterms:created>
  <dcterms:modified xsi:type="dcterms:W3CDTF">2019-06-27T08:08:00Z</dcterms:modified>
</cp:coreProperties>
</file>