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5AC73" w14:textId="05AE5C54" w:rsidR="00031E27" w:rsidRPr="001A397C" w:rsidRDefault="001A397C" w:rsidP="001A397C">
      <w:pPr>
        <w:jc w:val="center"/>
        <w:rPr>
          <w:b/>
          <w:bCs/>
          <w:sz w:val="40"/>
          <w:szCs w:val="40"/>
        </w:rPr>
      </w:pPr>
      <w:r w:rsidRPr="001A397C">
        <w:rPr>
          <w:b/>
          <w:bCs/>
          <w:sz w:val="40"/>
          <w:szCs w:val="40"/>
        </w:rPr>
        <w:t>La résistance des conducteurs ohmiques</w:t>
      </w:r>
    </w:p>
    <w:p w14:paraId="7E4F8E95" w14:textId="77777777" w:rsidR="00031E27" w:rsidRDefault="00031E27"/>
    <w:p w14:paraId="0CCDF1FF" w14:textId="77777777" w:rsidR="00031E27" w:rsidRDefault="00031E27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5802"/>
      </w:tblGrid>
      <w:tr w:rsidR="00031E27" w14:paraId="3B8CDCDA" w14:textId="77777777" w:rsidTr="00031E27">
        <w:tc>
          <w:tcPr>
            <w:tcW w:w="2228" w:type="pct"/>
          </w:tcPr>
          <w:p w14:paraId="39F6FEF8" w14:textId="39D30793" w:rsidR="00031E27" w:rsidRPr="00031E27" w:rsidRDefault="00031E27" w:rsidP="00031E27">
            <w:pPr>
              <w:pStyle w:val="Texte1"/>
              <w:ind w:left="0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31E27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Les conducteurs ohmiques sont des composants électroniques très courants. Ils sont fabriqués à grande échelle et suivent des séries normalisées définies suivant la norme internationale CEI 60063 pour atteindre des coûts de production minimes.</w:t>
            </w:r>
          </w:p>
        </w:tc>
        <w:tc>
          <w:tcPr>
            <w:tcW w:w="2772" w:type="pct"/>
          </w:tcPr>
          <w:p w14:paraId="53A0401E" w14:textId="2D5693F9" w:rsidR="00031E27" w:rsidRDefault="00031E27" w:rsidP="009E3827">
            <w:pPr>
              <w:pStyle w:val="Texte1"/>
              <w:keepNext/>
              <w:ind w:left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6A52F39" wp14:editId="71C8544A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354330</wp:posOffset>
                      </wp:positionV>
                      <wp:extent cx="1895475" cy="314325"/>
                      <wp:effectExtent l="9525" t="19050" r="9525" b="19050"/>
                      <wp:wrapNone/>
                      <wp:docPr id="1413267194" name="Grou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5475" cy="314325"/>
                                <a:chOff x="7590" y="2655"/>
                                <a:chExt cx="2985" cy="495"/>
                              </a:xfrm>
                            </wpg:grpSpPr>
                            <wps:wsp>
                              <wps:cNvPr id="104019277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90" y="2910"/>
                                  <a:ext cx="298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494412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00" y="2655"/>
                                  <a:ext cx="1455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115F7E" w14:textId="77777777" w:rsidR="00031E27" w:rsidRPr="00C64A03" w:rsidRDefault="00031E27" w:rsidP="00031E27">
                                    <w:pPr>
                                      <w:jc w:val="center"/>
                                      <w:rPr>
                                        <w:sz w:val="28"/>
                                        <w:szCs w:val="24"/>
                                      </w:rPr>
                                    </w:pPr>
                                    <w:r w:rsidRPr="00C64A03">
                                      <w:rPr>
                                        <w:sz w:val="28"/>
                                        <w:szCs w:val="24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A52F39" id="Groupe 3" o:spid="_x0000_s1026" style="position:absolute;margin-left:90pt;margin-top:27.9pt;width:149.25pt;height:24.75pt;z-index:251659264" coordorigin="7590,2655" coordsize="298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7590;top:2910;width:29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"/>
                      <v:rect id="Rectangle 7" o:spid="_x0000_s1028" style="position:absolute;left:8400;top:2655;width:145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" fillcolor="white [3212]" strokeweight="2.25pt">
                        <v:textbox>
                          <w:txbxContent>
                            <w:p w14:paraId="7A115F7E" w14:textId="77777777" w:rsidR="00031E27" w:rsidRPr="00C64A03" w:rsidRDefault="00031E27" w:rsidP="00031E27">
                              <w:pPr>
                                <w:jc w:val="center"/>
                                <w:rPr>
                                  <w:sz w:val="28"/>
                                  <w:szCs w:val="24"/>
                                </w:rPr>
                              </w:pPr>
                              <w:r w:rsidRPr="00C64A03">
                                <w:rPr>
                                  <w:sz w:val="28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6015AB5" wp14:editId="1D019E7C">
                  <wp:extent cx="885825" cy="8858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C89870" w14:textId="77777777" w:rsidR="00031E27" w:rsidRDefault="00031E27" w:rsidP="009E3827">
            <w:pPr>
              <w:pStyle w:val="Lgende"/>
              <w:jc w:val="center"/>
            </w:pPr>
            <w:r>
              <w:t xml:space="preserve">Figure </w:t>
            </w:r>
            <w:r>
              <w:fldChar w:fldCharType="begin"/>
            </w:r>
            <w:r>
              <w:instrText xml:space="preserve"> SEQ Figure \* ARABIC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> : Conducteur ohmique et son symbole électrique</w:t>
            </w:r>
          </w:p>
        </w:tc>
      </w:tr>
    </w:tbl>
    <w:p w14:paraId="6533BCE7" w14:textId="77777777" w:rsidR="00031E27" w:rsidRDefault="00031E27" w:rsidP="00031E27">
      <w:pPr>
        <w:spacing w:after="120" w:line="240" w:lineRule="auto"/>
      </w:pPr>
    </w:p>
    <w:p w14:paraId="5430C881" w14:textId="67ACA49B" w:rsidR="00ED2F49" w:rsidRDefault="00911FC0" w:rsidP="00013666">
      <w:pPr>
        <w:jc w:val="both"/>
      </w:pPr>
      <w:r>
        <w:t xml:space="preserve">Les valeurs normalisées sont espacées </w:t>
      </w:r>
      <w:r w:rsidR="00ED2F49">
        <w:t>régulièrement</w:t>
      </w:r>
      <w:r>
        <w:t xml:space="preserve"> sur une échelle </w:t>
      </w:r>
      <w:r w:rsidR="00ED2F49">
        <w:t>de</w:t>
      </w:r>
      <w:r>
        <w:t xml:space="preserve"> valeurs entre 10 et 100, puis en tenant compte bien sur des multiples et des sous multiples. Ainsi la </w:t>
      </w:r>
      <w:r w:rsidR="00ED2F49">
        <w:t>série</w:t>
      </w:r>
      <w:r>
        <w:t xml:space="preserve"> la plus courante E12 comprend 12 valeurs par </w:t>
      </w:r>
      <w:r w:rsidR="00ED2F49">
        <w:t>décade. Pour les conducteurs ohmiques dont la résistance est comprise entre 10 k</w:t>
      </w:r>
      <w:r w:rsidR="00ED2F49">
        <w:sym w:font="Symbol" w:char="F057"/>
      </w:r>
      <w:r w:rsidR="00ED2F49">
        <w:t xml:space="preserve"> et 100 k</w:t>
      </w:r>
      <w:r w:rsidR="00ED2F49">
        <w:sym w:font="Symbol" w:char="F057"/>
      </w:r>
      <w:r w:rsidR="00ED2F49">
        <w:t>, les fabricants visent les 12 valeurs de résistance suivantes :</w:t>
      </w:r>
    </w:p>
    <w:tbl>
      <w:tblPr>
        <w:tblStyle w:val="Grilledutableau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845"/>
        <w:gridCol w:w="845"/>
        <w:gridCol w:w="846"/>
        <w:gridCol w:w="758"/>
        <w:gridCol w:w="846"/>
        <w:gridCol w:w="847"/>
        <w:gridCol w:w="847"/>
        <w:gridCol w:w="847"/>
        <w:gridCol w:w="847"/>
        <w:gridCol w:w="847"/>
        <w:gridCol w:w="847"/>
        <w:gridCol w:w="758"/>
      </w:tblGrid>
      <w:tr w:rsidR="00ED2F49" w14:paraId="4620B779" w14:textId="1977DB23" w:rsidTr="001A397C">
        <w:tc>
          <w:tcPr>
            <w:tcW w:w="845" w:type="dxa"/>
            <w:shd w:val="clear" w:color="auto" w:fill="B4C6E7" w:themeFill="accent1" w:themeFillTint="66"/>
          </w:tcPr>
          <w:p w14:paraId="5FF0ADBF" w14:textId="1C206286" w:rsidR="00ED2F49" w:rsidRDefault="00ED2F49" w:rsidP="00013666">
            <w:pPr>
              <w:jc w:val="both"/>
            </w:pPr>
            <w:r>
              <w:t>10 k</w:t>
            </w:r>
            <w:r>
              <w:sym w:font="Symbol" w:char="F057"/>
            </w:r>
          </w:p>
        </w:tc>
        <w:tc>
          <w:tcPr>
            <w:tcW w:w="845" w:type="dxa"/>
            <w:shd w:val="clear" w:color="auto" w:fill="B4C6E7" w:themeFill="accent1" w:themeFillTint="66"/>
          </w:tcPr>
          <w:p w14:paraId="2F46524D" w14:textId="30EB5AC8" w:rsidR="00ED2F49" w:rsidRDefault="00ED2F49" w:rsidP="00013666">
            <w:pPr>
              <w:jc w:val="both"/>
            </w:pPr>
            <w:r>
              <w:t>12 k</w:t>
            </w:r>
            <w:r>
              <w:sym w:font="Symbol" w:char="F057"/>
            </w:r>
          </w:p>
        </w:tc>
        <w:tc>
          <w:tcPr>
            <w:tcW w:w="846" w:type="dxa"/>
            <w:shd w:val="clear" w:color="auto" w:fill="B4C6E7" w:themeFill="accent1" w:themeFillTint="66"/>
          </w:tcPr>
          <w:p w14:paraId="37D02C9D" w14:textId="550DCE5B" w:rsidR="00ED2F49" w:rsidRDefault="00ED2F49" w:rsidP="00013666">
            <w:pPr>
              <w:jc w:val="both"/>
            </w:pPr>
            <w:r>
              <w:t>15 k</w:t>
            </w:r>
            <w:r>
              <w:sym w:font="Symbol" w:char="F057"/>
            </w:r>
          </w:p>
        </w:tc>
        <w:tc>
          <w:tcPr>
            <w:tcW w:w="758" w:type="dxa"/>
            <w:shd w:val="clear" w:color="auto" w:fill="B4C6E7" w:themeFill="accent1" w:themeFillTint="66"/>
          </w:tcPr>
          <w:p w14:paraId="48691AAC" w14:textId="109CAB7D" w:rsidR="00ED2F49" w:rsidRDefault="00ED2F49" w:rsidP="00013666">
            <w:pPr>
              <w:jc w:val="both"/>
            </w:pPr>
            <w:r>
              <w:t>18 k</w:t>
            </w:r>
            <w:r>
              <w:sym w:font="Symbol" w:char="F057"/>
            </w:r>
          </w:p>
        </w:tc>
        <w:tc>
          <w:tcPr>
            <w:tcW w:w="846" w:type="dxa"/>
            <w:shd w:val="clear" w:color="auto" w:fill="B4C6E7" w:themeFill="accent1" w:themeFillTint="66"/>
          </w:tcPr>
          <w:p w14:paraId="484C584E" w14:textId="2294FAE0" w:rsidR="00ED2F49" w:rsidRDefault="00ED2F49" w:rsidP="00013666">
            <w:pPr>
              <w:jc w:val="both"/>
            </w:pPr>
            <w:r>
              <w:t>22 k</w:t>
            </w:r>
            <w:r>
              <w:sym w:font="Symbol" w:char="F057"/>
            </w:r>
          </w:p>
        </w:tc>
        <w:tc>
          <w:tcPr>
            <w:tcW w:w="847" w:type="dxa"/>
            <w:shd w:val="clear" w:color="auto" w:fill="B4C6E7" w:themeFill="accent1" w:themeFillTint="66"/>
          </w:tcPr>
          <w:p w14:paraId="33E476F0" w14:textId="7E4073E7" w:rsidR="00ED2F49" w:rsidRDefault="00ED2F49" w:rsidP="00013666">
            <w:pPr>
              <w:jc w:val="both"/>
            </w:pPr>
            <w:r>
              <w:t>27 k</w:t>
            </w:r>
            <w:r>
              <w:sym w:font="Symbol" w:char="F057"/>
            </w:r>
          </w:p>
        </w:tc>
        <w:tc>
          <w:tcPr>
            <w:tcW w:w="847" w:type="dxa"/>
            <w:shd w:val="clear" w:color="auto" w:fill="B4C6E7" w:themeFill="accent1" w:themeFillTint="66"/>
          </w:tcPr>
          <w:p w14:paraId="5EB39D6B" w14:textId="386268DE" w:rsidR="00ED2F49" w:rsidRDefault="00ED2F49" w:rsidP="00013666">
            <w:pPr>
              <w:jc w:val="both"/>
            </w:pPr>
            <w:r>
              <w:t>33 k</w:t>
            </w:r>
            <w:r>
              <w:sym w:font="Symbol" w:char="F057"/>
            </w:r>
          </w:p>
        </w:tc>
        <w:tc>
          <w:tcPr>
            <w:tcW w:w="847" w:type="dxa"/>
            <w:shd w:val="clear" w:color="auto" w:fill="B4C6E7" w:themeFill="accent1" w:themeFillTint="66"/>
          </w:tcPr>
          <w:p w14:paraId="2BAAEF9C" w14:textId="30D2C7A3" w:rsidR="00ED2F49" w:rsidRDefault="00ED2F49" w:rsidP="00013666">
            <w:pPr>
              <w:jc w:val="both"/>
            </w:pPr>
            <w:r>
              <w:t>39 k</w:t>
            </w:r>
            <w:r>
              <w:sym w:font="Symbol" w:char="F057"/>
            </w:r>
          </w:p>
        </w:tc>
        <w:tc>
          <w:tcPr>
            <w:tcW w:w="847" w:type="dxa"/>
            <w:shd w:val="clear" w:color="auto" w:fill="B4C6E7" w:themeFill="accent1" w:themeFillTint="66"/>
          </w:tcPr>
          <w:p w14:paraId="57B6F010" w14:textId="02DBBA81" w:rsidR="00ED2F49" w:rsidRDefault="00ED2F49" w:rsidP="00013666">
            <w:pPr>
              <w:jc w:val="both"/>
            </w:pPr>
            <w:r>
              <w:t>47 k</w:t>
            </w:r>
            <w:r>
              <w:sym w:font="Symbol" w:char="F057"/>
            </w:r>
          </w:p>
        </w:tc>
        <w:tc>
          <w:tcPr>
            <w:tcW w:w="847" w:type="dxa"/>
            <w:shd w:val="clear" w:color="auto" w:fill="B4C6E7" w:themeFill="accent1" w:themeFillTint="66"/>
          </w:tcPr>
          <w:p w14:paraId="20247F17" w14:textId="06DE1297" w:rsidR="00ED2F49" w:rsidRDefault="00ED2F49" w:rsidP="00013666">
            <w:pPr>
              <w:jc w:val="both"/>
            </w:pPr>
            <w:r>
              <w:t>56 k</w:t>
            </w:r>
            <w:r>
              <w:sym w:font="Symbol" w:char="F057"/>
            </w:r>
          </w:p>
        </w:tc>
        <w:tc>
          <w:tcPr>
            <w:tcW w:w="847" w:type="dxa"/>
            <w:shd w:val="clear" w:color="auto" w:fill="B4C6E7" w:themeFill="accent1" w:themeFillTint="66"/>
          </w:tcPr>
          <w:p w14:paraId="332C50B3" w14:textId="7E7988DB" w:rsidR="00ED2F49" w:rsidRDefault="00ED2F49" w:rsidP="00013666">
            <w:pPr>
              <w:jc w:val="both"/>
            </w:pPr>
            <w:r>
              <w:t>68 k</w:t>
            </w:r>
            <w:r>
              <w:sym w:font="Symbol" w:char="F057"/>
            </w:r>
          </w:p>
        </w:tc>
        <w:tc>
          <w:tcPr>
            <w:tcW w:w="758" w:type="dxa"/>
            <w:shd w:val="clear" w:color="auto" w:fill="B4C6E7" w:themeFill="accent1" w:themeFillTint="66"/>
          </w:tcPr>
          <w:p w14:paraId="2CA46AEA" w14:textId="07AAAD17" w:rsidR="00ED2F49" w:rsidRDefault="00ED2F49" w:rsidP="00013666">
            <w:pPr>
              <w:jc w:val="both"/>
            </w:pPr>
            <w:r>
              <w:t>82 k</w:t>
            </w:r>
            <w:r>
              <w:sym w:font="Symbol" w:char="F057"/>
            </w:r>
          </w:p>
        </w:tc>
      </w:tr>
    </w:tbl>
    <w:p w14:paraId="7F2FDA6B" w14:textId="77777777" w:rsidR="00ED2F49" w:rsidRDefault="00ED2F49" w:rsidP="00013666">
      <w:pPr>
        <w:spacing w:after="120" w:line="240" w:lineRule="auto"/>
        <w:jc w:val="both"/>
      </w:pPr>
    </w:p>
    <w:p w14:paraId="6E968ACF" w14:textId="6FF619B1" w:rsidR="00ED2F49" w:rsidRDefault="00ED2F49" w:rsidP="00013666">
      <w:pPr>
        <w:jc w:val="both"/>
      </w:pPr>
      <w:r>
        <w:t>Un conducteur ohmique de 25 k</w:t>
      </w:r>
      <w:r>
        <w:sym w:font="Symbol" w:char="F057"/>
      </w:r>
      <w:r>
        <w:t>, par exemple, n’existe pas dans la série E12. Il faudra trouver ce conducteur dans une autre série (plus chère).</w:t>
      </w:r>
    </w:p>
    <w:p w14:paraId="5211A899" w14:textId="15EE86EA" w:rsidR="006A31CD" w:rsidRDefault="00ED2F49" w:rsidP="00013666">
      <w:pPr>
        <w:jc w:val="both"/>
      </w:pPr>
      <w:r>
        <w:t>Pour identifier la valeur de la résistance, l</w:t>
      </w:r>
      <w:r w:rsidR="00911FC0">
        <w:t>a plupart des conducteurs ohmiques possèdent un marquage sous forme d’anneaux de couleur.</w:t>
      </w:r>
      <w:r w:rsidR="00031E27">
        <w:t xml:space="preserve"> Les deux premiers anneaux correspondent aux deux chiffres donnés dans le tableau précédent. Le troisième anneau représente le multiplicateur (pour notre tableau : k </w:t>
      </w:r>
      <w:r w:rsidR="00031E27">
        <w:sym w:font="Symbol" w:char="F0AE"/>
      </w:r>
      <w:r w:rsidR="00031E27">
        <w:t xml:space="preserve"> 10</w:t>
      </w:r>
      <w:r w:rsidR="00031E27">
        <w:rPr>
          <w:vertAlign w:val="superscript"/>
        </w:rPr>
        <w:t>3</w:t>
      </w:r>
      <w:r w:rsidR="00031E27">
        <w:t>). Le dernier anneau correspond à la tolérance du fabricant.</w:t>
      </w:r>
    </w:p>
    <w:p w14:paraId="292B0028" w14:textId="77777777" w:rsidR="00FC02CD" w:rsidRDefault="00FC02CD" w:rsidP="00013666">
      <w:pPr>
        <w:jc w:val="both"/>
      </w:pPr>
    </w:p>
    <w:p w14:paraId="4AF81206" w14:textId="6531763C" w:rsidR="00FC02CD" w:rsidRDefault="00FC02CD" w:rsidP="00013666">
      <w:pPr>
        <w:jc w:val="both"/>
      </w:pPr>
      <w:r>
        <w:t>EXEMPLE (voir détail au dos de la feuille) :</w:t>
      </w:r>
    </w:p>
    <w:p w14:paraId="3591D256" w14:textId="666C7FFB" w:rsidR="0090408B" w:rsidRDefault="0090408B" w:rsidP="0090408B">
      <w:pPr>
        <w:jc w:val="center"/>
      </w:pPr>
      <w:r w:rsidRPr="0090408B">
        <w:drawing>
          <wp:inline distT="0" distB="0" distL="0" distR="0" wp14:anchorId="6B76A2DD" wp14:editId="29D2B55C">
            <wp:extent cx="5160010" cy="954005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t="37314" b="35336"/>
                    <a:stretch/>
                  </pic:blipFill>
                  <pic:spPr bwMode="auto">
                    <a:xfrm>
                      <a:off x="0" y="0"/>
                      <a:ext cx="5273190" cy="974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ECB6A6" w14:textId="13844338" w:rsidR="00013666" w:rsidRDefault="00013666" w:rsidP="00FC02CD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C02CD" w:rsidRPr="00FC02CD" w14:paraId="4DB7A919" w14:textId="77777777" w:rsidTr="00FC02CD">
        <w:tc>
          <w:tcPr>
            <w:tcW w:w="2614" w:type="dxa"/>
          </w:tcPr>
          <w:p w14:paraId="066B3275" w14:textId="19473EAD" w:rsidR="00FC02CD" w:rsidRPr="0090408B" w:rsidRDefault="0090408B" w:rsidP="00FC02CD">
            <w:pPr>
              <w:jc w:val="center"/>
              <w:rPr>
                <w:color w:val="FF0000"/>
                <w:sz w:val="28"/>
                <w:szCs w:val="28"/>
              </w:rPr>
            </w:pPr>
            <w:r w:rsidRPr="0090408B">
              <w:rPr>
                <w:color w:val="FF0000"/>
                <w:sz w:val="28"/>
                <w:szCs w:val="28"/>
              </w:rPr>
              <w:t>Rouge</w:t>
            </w:r>
          </w:p>
        </w:tc>
        <w:tc>
          <w:tcPr>
            <w:tcW w:w="2614" w:type="dxa"/>
          </w:tcPr>
          <w:p w14:paraId="597B6EAC" w14:textId="1186FAD3" w:rsidR="00FC02CD" w:rsidRPr="0090408B" w:rsidRDefault="0090408B" w:rsidP="00FC02CD">
            <w:pPr>
              <w:jc w:val="center"/>
              <w:rPr>
                <w:color w:val="FF0000"/>
                <w:sz w:val="28"/>
                <w:szCs w:val="28"/>
              </w:rPr>
            </w:pPr>
            <w:r w:rsidRPr="0090408B">
              <w:rPr>
                <w:color w:val="FF0000"/>
                <w:sz w:val="28"/>
                <w:szCs w:val="28"/>
              </w:rPr>
              <w:t>Rouge</w:t>
            </w:r>
          </w:p>
        </w:tc>
        <w:tc>
          <w:tcPr>
            <w:tcW w:w="2614" w:type="dxa"/>
          </w:tcPr>
          <w:p w14:paraId="6F5190DA" w14:textId="616EED92" w:rsidR="00FC02CD" w:rsidRPr="0090408B" w:rsidRDefault="0090408B" w:rsidP="00FC02CD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90408B">
              <w:rPr>
                <w:color w:val="833C0B" w:themeColor="accent2" w:themeShade="80"/>
                <w:sz w:val="28"/>
                <w:szCs w:val="28"/>
              </w:rPr>
              <w:t>Marron</w:t>
            </w:r>
          </w:p>
        </w:tc>
        <w:tc>
          <w:tcPr>
            <w:tcW w:w="2614" w:type="dxa"/>
          </w:tcPr>
          <w:p w14:paraId="272EE944" w14:textId="67FADB7D" w:rsidR="00FC02CD" w:rsidRPr="00FC02CD" w:rsidRDefault="00FC02CD" w:rsidP="00FC02CD">
            <w:pPr>
              <w:jc w:val="center"/>
              <w:rPr>
                <w:sz w:val="28"/>
                <w:szCs w:val="28"/>
              </w:rPr>
            </w:pPr>
            <w:r w:rsidRPr="00FC02CD">
              <w:rPr>
                <w:sz w:val="28"/>
                <w:szCs w:val="28"/>
              </w:rPr>
              <w:t>Or</w:t>
            </w:r>
          </w:p>
        </w:tc>
      </w:tr>
      <w:tr w:rsidR="00FC02CD" w:rsidRPr="00FC02CD" w14:paraId="7E7312CE" w14:textId="77777777" w:rsidTr="00FC02CD">
        <w:tc>
          <w:tcPr>
            <w:tcW w:w="2614" w:type="dxa"/>
          </w:tcPr>
          <w:p w14:paraId="19DF044B" w14:textId="5708E9F1" w:rsidR="00FC02CD" w:rsidRPr="0090408B" w:rsidRDefault="0090408B" w:rsidP="00FC02C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0408B"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614" w:type="dxa"/>
          </w:tcPr>
          <w:p w14:paraId="1BB46D6B" w14:textId="051FD123" w:rsidR="00FC02CD" w:rsidRPr="0090408B" w:rsidRDefault="0090408B" w:rsidP="00FC02C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0408B"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614" w:type="dxa"/>
          </w:tcPr>
          <w:p w14:paraId="73D64FE0" w14:textId="0D0C69A2" w:rsidR="00FC02CD" w:rsidRPr="0090408B" w:rsidRDefault="00FC02CD" w:rsidP="00FC02CD">
            <w:pPr>
              <w:jc w:val="center"/>
              <w:rPr>
                <w:b/>
                <w:bCs/>
                <w:color w:val="833C0B" w:themeColor="accent2" w:themeShade="80"/>
                <w:sz w:val="28"/>
                <w:szCs w:val="28"/>
                <w:vertAlign w:val="superscript"/>
              </w:rPr>
            </w:pPr>
            <w:r w:rsidRPr="0090408B">
              <w:rPr>
                <w:b/>
                <w:bCs/>
                <w:color w:val="833C0B" w:themeColor="accent2" w:themeShade="80"/>
                <w:sz w:val="28"/>
                <w:szCs w:val="28"/>
              </w:rPr>
              <w:t>10</w:t>
            </w:r>
            <w:r w:rsidR="0090408B" w:rsidRPr="0090408B">
              <w:rPr>
                <w:b/>
                <w:bCs/>
                <w:color w:val="833C0B" w:themeColor="accent2" w:themeShade="8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614" w:type="dxa"/>
          </w:tcPr>
          <w:p w14:paraId="7FC33271" w14:textId="4B2B9D53" w:rsidR="00FC02CD" w:rsidRPr="00FC02CD" w:rsidRDefault="00FC02CD" w:rsidP="00FC02CD">
            <w:pPr>
              <w:jc w:val="center"/>
              <w:rPr>
                <w:b/>
                <w:bCs/>
                <w:sz w:val="28"/>
                <w:szCs w:val="28"/>
              </w:rPr>
            </w:pPr>
            <w:r w:rsidRPr="00FC02CD">
              <w:rPr>
                <w:rFonts w:cstheme="minorHAnsi"/>
                <w:b/>
                <w:bCs/>
                <w:sz w:val="28"/>
                <w:szCs w:val="28"/>
              </w:rPr>
              <w:t>±</w:t>
            </w:r>
            <w:r w:rsidRPr="00FC02CD">
              <w:rPr>
                <w:b/>
                <w:bCs/>
                <w:sz w:val="28"/>
                <w:szCs w:val="28"/>
              </w:rPr>
              <w:t> 5%</w:t>
            </w:r>
          </w:p>
        </w:tc>
      </w:tr>
      <w:tr w:rsidR="00FC02CD" w:rsidRPr="00FC02CD" w14:paraId="47AAA589" w14:textId="77777777" w:rsidTr="003A3A80">
        <w:tc>
          <w:tcPr>
            <w:tcW w:w="10456" w:type="dxa"/>
            <w:gridSpan w:val="4"/>
          </w:tcPr>
          <w:p w14:paraId="6455B917" w14:textId="3B5977BC" w:rsidR="00FC02CD" w:rsidRPr="00FC02CD" w:rsidRDefault="0090408B" w:rsidP="00FC02C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220 Ω</w:t>
            </w:r>
          </w:p>
        </w:tc>
      </w:tr>
    </w:tbl>
    <w:p w14:paraId="6B5D5954" w14:textId="77777777" w:rsidR="00FC02CD" w:rsidRPr="00031E27" w:rsidRDefault="00FC02CD" w:rsidP="00FC02CD">
      <w:pPr>
        <w:jc w:val="center"/>
      </w:pPr>
      <w:bookmarkStart w:id="0" w:name="_GoBack"/>
      <w:bookmarkEnd w:id="0"/>
    </w:p>
    <w:p w14:paraId="09F01DD6" w14:textId="53C62031" w:rsidR="00031E27" w:rsidRDefault="00031E27">
      <w:r>
        <w:rPr>
          <w:noProof/>
        </w:rPr>
        <w:lastRenderedPageBreak/>
        <w:drawing>
          <wp:inline distT="0" distB="0" distL="0" distR="0" wp14:anchorId="72CDC7E5" wp14:editId="3288139F">
            <wp:extent cx="6645910" cy="9599930"/>
            <wp:effectExtent l="0" t="0" r="2540" b="1270"/>
            <wp:docPr id="4924411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441179" name="Image 4924411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9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1E27" w:rsidSect="001A397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C0"/>
    <w:rsid w:val="00013666"/>
    <w:rsid w:val="00031E27"/>
    <w:rsid w:val="001A397C"/>
    <w:rsid w:val="001C49D2"/>
    <w:rsid w:val="004023CF"/>
    <w:rsid w:val="00492FE0"/>
    <w:rsid w:val="006A31CD"/>
    <w:rsid w:val="007A45E5"/>
    <w:rsid w:val="0090408B"/>
    <w:rsid w:val="00911FC0"/>
    <w:rsid w:val="00ED2F49"/>
    <w:rsid w:val="00FC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E210"/>
  <w15:chartTrackingRefBased/>
  <w15:docId w15:val="{9585B673-AA2E-43BA-83D1-90935F82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onse">
    <w:name w:val="réponse"/>
    <w:basedOn w:val="Normal"/>
    <w:qFormat/>
    <w:rsid w:val="007A45E5"/>
    <w:pPr>
      <w:spacing w:before="120" w:after="0" w:line="240" w:lineRule="auto"/>
      <w:ind w:left="397"/>
    </w:pPr>
    <w:rPr>
      <w:rFonts w:eastAsia="Calibri" w:cs="Arial"/>
      <w:b/>
      <w:bCs/>
      <w:i/>
      <w:iCs/>
      <w:color w:val="FF0000"/>
      <w:szCs w:val="20"/>
      <w:lang w:eastAsia="fr-FR"/>
    </w:rPr>
  </w:style>
  <w:style w:type="table" w:styleId="Grilledutableau">
    <w:name w:val="Table Grid"/>
    <w:basedOn w:val="TableauNormal"/>
    <w:uiPriority w:val="59"/>
    <w:rsid w:val="00ED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semiHidden/>
    <w:rsid w:val="00031E27"/>
    <w:pPr>
      <w:spacing w:after="0" w:line="240" w:lineRule="auto"/>
    </w:pPr>
    <w:rPr>
      <w:rFonts w:eastAsia="Calibri" w:cs="Times New Roman"/>
      <w:b/>
      <w:bCs/>
      <w:kern w:val="0"/>
      <w:szCs w:val="20"/>
      <w:lang w:eastAsia="fr-FR"/>
      <w14:ligatures w14:val="none"/>
    </w:rPr>
  </w:style>
  <w:style w:type="paragraph" w:customStyle="1" w:styleId="Texte1">
    <w:name w:val="Texte1"/>
    <w:basedOn w:val="Normal"/>
    <w:rsid w:val="00031E27"/>
    <w:pPr>
      <w:spacing w:before="120" w:after="0" w:line="240" w:lineRule="auto"/>
      <w:ind w:left="567"/>
    </w:pPr>
    <w:rPr>
      <w:rFonts w:ascii="Arial" w:eastAsia="Times New Roman" w:hAnsi="Arial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olivier.schira</dc:creator>
  <cp:keywords/>
  <dc:description/>
  <cp:lastModifiedBy>olivier.schira</cp:lastModifiedBy>
  <cp:revision>3</cp:revision>
  <dcterms:created xsi:type="dcterms:W3CDTF">2025-01-23T21:03:00Z</dcterms:created>
  <dcterms:modified xsi:type="dcterms:W3CDTF">2025-02-07T09:42:00Z</dcterms:modified>
</cp:coreProperties>
</file>